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hint="eastAsia" w:ascii="宋体" w:hAnsi="宋体" w:cs="宋体"/>
          <w:color w:val="000000"/>
          <w:kern w:val="0"/>
          <w:sz w:val="24"/>
        </w:rPr>
      </w:pPr>
      <w:r>
        <w:rPr>
          <w:rFonts w:hint="eastAsia" w:ascii="宋体" w:hAnsi="宋体" w:cs="宋体"/>
          <w:b/>
          <w:bCs/>
          <w:color w:val="000000"/>
          <w:kern w:val="0"/>
          <w:sz w:val="36"/>
          <w:szCs w:val="36"/>
          <w:lang w:eastAsia="zh-CN"/>
        </w:rPr>
        <w:t>秀洲区应急管理局</w:t>
      </w:r>
      <w:r>
        <w:rPr>
          <w:rFonts w:hint="eastAsia" w:ascii="宋体" w:hAnsi="宋体" w:cs="宋体"/>
          <w:b/>
          <w:bCs/>
          <w:color w:val="000000"/>
          <w:kern w:val="0"/>
          <w:sz w:val="36"/>
          <w:szCs w:val="36"/>
        </w:rPr>
        <w:t>政府信息公开工作年度报告</w:t>
      </w:r>
    </w:p>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一、总体情况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2019年，我局</w:t>
      </w:r>
      <w:r>
        <w:rPr>
          <w:rFonts w:hint="eastAsia" w:ascii="仿宋_GB2312" w:hAnsi="仿宋_GB2312" w:eastAsia="仿宋_GB2312" w:cs="仿宋_GB2312"/>
          <w:sz w:val="32"/>
          <w:szCs w:val="32"/>
        </w:rPr>
        <w:t>认真贯彻落实《中华人民共和国政府信息</w:t>
      </w:r>
      <w:r>
        <w:rPr>
          <w:rFonts w:hint="eastAsia" w:ascii="仿宋_GB2312" w:hAnsi="仿宋_GB2312" w:eastAsia="仿宋_GB2312" w:cs="仿宋_GB2312"/>
          <w:sz w:val="32"/>
          <w:szCs w:val="32"/>
          <w:lang w:val="en-US" w:eastAsia="zh-CN"/>
        </w:rPr>
        <w:t>公开</w:t>
      </w:r>
      <w:bookmarkStart w:id="0" w:name="_GoBack"/>
      <w:bookmarkEnd w:id="0"/>
      <w:r>
        <w:rPr>
          <w:rFonts w:hint="eastAsia" w:ascii="仿宋_GB2312" w:hAnsi="仿宋_GB2312" w:eastAsia="仿宋_GB2312" w:cs="仿宋_GB2312"/>
          <w:sz w:val="32"/>
          <w:szCs w:val="32"/>
        </w:rPr>
        <w:t>条例》（国务院令第711号）、《中共中央办公厅 国务院办公厅印发〈关于全面推进政务公开工作的意见〉的通知》（中办发〔2016〕8号）、《国务院办公厅印发〈关于全面推进政务公开工作的意见〉实施细则的通知》（国办发〔2016〕80号）等上级机关文件精神</w:t>
      </w:r>
      <w:r>
        <w:rPr>
          <w:rFonts w:hint="eastAsia" w:ascii="仿宋_GB2312" w:hAnsi="仿宋_GB2312" w:eastAsia="仿宋_GB2312" w:cs="仿宋_GB2312"/>
          <w:sz w:val="32"/>
          <w:szCs w:val="32"/>
          <w:lang w:val="en-US" w:eastAsia="zh-CN"/>
        </w:rPr>
        <w:t>以及</w:t>
      </w:r>
      <w:r>
        <w:rPr>
          <w:rFonts w:ascii="仿宋_GB2312" w:hAnsi="宋体" w:eastAsia="仿宋_GB2312"/>
          <w:color w:val="000000"/>
          <w:sz w:val="32"/>
          <w:szCs w:val="32"/>
        </w:rPr>
        <w:t>嘉政办发〔2019〕35号文件</w:t>
      </w:r>
      <w:r>
        <w:rPr>
          <w:rFonts w:hint="eastAsia" w:ascii="仿宋_GB2312" w:hAnsi="宋体" w:eastAsia="仿宋_GB2312"/>
          <w:color w:val="000000"/>
          <w:sz w:val="32"/>
          <w:szCs w:val="32"/>
        </w:rPr>
        <w:t>责任分解中</w:t>
      </w:r>
      <w:r>
        <w:rPr>
          <w:rFonts w:hint="eastAsia" w:ascii="仿宋_GB2312" w:hAnsi="宋体" w:eastAsia="仿宋_GB2312"/>
          <w:color w:val="000000"/>
          <w:sz w:val="32"/>
          <w:szCs w:val="32"/>
          <w:lang w:val="en-US" w:eastAsia="zh-CN"/>
        </w:rPr>
        <w:t>应急管理工作需要公开的具体事项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严格按照区政府要求</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应急管理工作的</w:t>
      </w:r>
      <w:r>
        <w:rPr>
          <w:rFonts w:hint="eastAsia" w:ascii="仿宋_GB2312" w:hAnsi="仿宋_GB2312" w:eastAsia="仿宋_GB2312" w:cs="仿宋_GB2312"/>
          <w:sz w:val="32"/>
          <w:szCs w:val="32"/>
        </w:rPr>
        <w:t>决策、执行、管理、服务、结果全过程公开，加强政策解读、回应关切、平台建设、数据开放，保障公众知情权、参与权、表达权和监督权，增强政府公信力、执行力。</w:t>
      </w:r>
    </w:p>
    <w:p>
      <w:pPr>
        <w:keepNext w:val="0"/>
        <w:keepLines w:val="0"/>
        <w:pageBreakBefore w:val="0"/>
        <w:widowControl/>
        <w:suppressLineNumbers w:val="0"/>
        <w:pBdr>
          <w:bottom w:val="single" w:color="CCCCCC" w:sz="4" w:space="0"/>
        </w:pBdr>
        <w:kinsoku/>
        <w:wordWrap/>
        <w:overflowPunct/>
        <w:topLinePunct w:val="0"/>
        <w:autoSpaceDE/>
        <w:autoSpaceDN/>
        <w:bidi w:val="0"/>
        <w:adjustRightInd/>
        <w:snapToGrid/>
        <w:spacing w:before="0" w:beforeAutospacing="0" w:after="0" w:afterAutospacing="0" w:line="520" w:lineRule="exact"/>
        <w:ind w:left="0" w:leftChars="0" w:right="24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涉及群众切身利益、重大公共利益</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重要改革方案、重大政策措施、重点工程项目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我局都</w:t>
      </w:r>
      <w:r>
        <w:rPr>
          <w:rFonts w:ascii="仿宋_GB2312" w:hAnsi="仿宋_GB2312" w:eastAsia="仿宋_GB2312" w:cs="仿宋_GB2312"/>
          <w:sz w:val="32"/>
          <w:szCs w:val="32"/>
        </w:rPr>
        <w:t>依法</w:t>
      </w:r>
      <w:r>
        <w:rPr>
          <w:rFonts w:hint="eastAsia" w:ascii="仿宋_GB2312" w:hAnsi="仿宋_GB2312" w:eastAsia="仿宋_GB2312" w:cs="仿宋_GB2312"/>
          <w:sz w:val="32"/>
          <w:szCs w:val="32"/>
          <w:lang w:val="en-US" w:eastAsia="zh-CN"/>
        </w:rPr>
        <w:t>依规考核，同时及时</w:t>
      </w:r>
      <w:r>
        <w:rPr>
          <w:rFonts w:hint="eastAsia" w:ascii="仿宋_GB2312" w:hAnsi="仿宋_GB2312" w:eastAsia="仿宋_GB2312" w:cs="仿宋_GB2312"/>
          <w:sz w:val="32"/>
          <w:szCs w:val="32"/>
        </w:rPr>
        <w:t>新闻媒体、微博、微信等渠道向社会主动公开，让社会广泛知晓。从政策性文件、重大决策预公开、财政预决算、公共服务、决策部署落实情况、</w:t>
      </w:r>
      <w:r>
        <w:rPr>
          <w:rFonts w:hint="eastAsia" w:ascii="仿宋_GB2312" w:hAnsi="仿宋_GB2312" w:eastAsia="仿宋_GB2312" w:cs="仿宋_GB2312"/>
          <w:sz w:val="32"/>
          <w:szCs w:val="32"/>
          <w:lang w:val="en-US" w:eastAsia="zh-CN"/>
        </w:rPr>
        <w:t>政策法规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应急预案预警信息、灾害事故救援领域、安全生产领域、</w:t>
      </w:r>
      <w:r>
        <w:rPr>
          <w:rFonts w:hint="eastAsia" w:ascii="仿宋_GB2312" w:hAnsi="仿宋_GB2312" w:eastAsia="仿宋_GB2312" w:cs="仿宋_GB2312"/>
          <w:sz w:val="32"/>
          <w:szCs w:val="32"/>
        </w:rPr>
        <w:t>等方面规范</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应公开的内容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并按照区政府办的具体要求和部署每周定期公开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全年共公开政务信息189条、微信公众号发布信息126条、处罚信息公开40件、许可事项公开35条。</w:t>
      </w: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二、主动公开政府信息情况</w:t>
      </w:r>
    </w:p>
    <w:tbl>
      <w:tblPr>
        <w:tblStyle w:val="2"/>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35</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28</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lang w:val="en-US" w:eastAsia="zh-CN"/>
              </w:rPr>
              <w:t>+12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40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13</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128668元</w:t>
            </w:r>
          </w:p>
        </w:tc>
      </w:tr>
    </w:tbl>
    <w:p>
      <w:pPr>
        <w:widowControl/>
        <w:spacing w:line="432" w:lineRule="atLeast"/>
        <w:ind w:firstLine="480"/>
        <w:rPr>
          <w:rFonts w:hint="eastAsia" w:ascii="宋体" w:hAnsi="宋体" w:cs="宋体"/>
          <w:color w:val="000000"/>
          <w:kern w:val="0"/>
          <w:sz w:val="24"/>
        </w:rPr>
      </w:pPr>
    </w:p>
    <w:p>
      <w:pPr>
        <w:widowControl/>
        <w:spacing w:after="240"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三、收到和处理政府信息公开申请情况</w:t>
      </w:r>
    </w:p>
    <w:tbl>
      <w:tblPr>
        <w:tblStyle w:val="2"/>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trHeight w:val="637"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ind w:firstLine="480"/>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四、政府信息公开行政复议、行政诉讼情况</w:t>
      </w:r>
    </w:p>
    <w:p>
      <w:pPr>
        <w:widowControl/>
        <w:spacing w:line="432" w:lineRule="atLeast"/>
        <w:ind w:firstLine="480"/>
        <w:rPr>
          <w:rFonts w:hint="eastAsia" w:ascii="宋体" w:hAnsi="宋体" w:cs="宋体"/>
          <w:color w:val="000000"/>
          <w:kern w:val="0"/>
          <w:sz w:val="24"/>
        </w:rPr>
      </w:pPr>
    </w:p>
    <w:tbl>
      <w:tblPr>
        <w:tblStyle w:val="2"/>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bl>
    <w:p>
      <w:pPr>
        <w:widowControl/>
        <w:spacing w:line="432" w:lineRule="atLeast"/>
        <w:jc w:val="center"/>
        <w:rPr>
          <w:rFonts w:hint="eastAsia" w:ascii="宋体" w:hAnsi="宋体" w:cs="宋体"/>
          <w:color w:val="000000"/>
          <w:kern w:val="0"/>
          <w:sz w:val="24"/>
        </w:rPr>
      </w:pP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五、存在的主要问题及改进情况</w:t>
      </w:r>
    </w:p>
    <w:p>
      <w:pPr>
        <w:keepNext w:val="0"/>
        <w:keepLines w:val="0"/>
        <w:pageBreakBefore w:val="0"/>
        <w:widowControl/>
        <w:suppressLineNumbers w:val="0"/>
        <w:pBdr>
          <w:bottom w:val="single" w:color="CCCCCC" w:sz="4" w:space="0"/>
        </w:pBdr>
        <w:kinsoku/>
        <w:wordWrap/>
        <w:overflowPunct/>
        <w:topLinePunct w:val="0"/>
        <w:autoSpaceDE/>
        <w:autoSpaceDN/>
        <w:bidi w:val="0"/>
        <w:adjustRightInd/>
        <w:snapToGrid/>
        <w:spacing w:before="0" w:beforeAutospacing="0" w:after="0" w:afterAutospacing="0" w:line="520" w:lineRule="exact"/>
        <w:ind w:left="0" w:leftChars="0" w:right="240" w:firstLine="640" w:firstLineChars="200"/>
        <w:jc w:val="left"/>
        <w:textAlignment w:val="auto"/>
        <w:rPr>
          <w:rFonts w:hint="eastAsia" w:ascii="宋体" w:hAnsi="宋体" w:cs="宋体"/>
          <w:b/>
          <w:bCs/>
          <w:color w:val="000000"/>
          <w:kern w:val="0"/>
          <w:sz w:val="24"/>
        </w:rPr>
      </w:pPr>
      <w:r>
        <w:rPr>
          <w:rFonts w:hint="eastAsia" w:ascii="仿宋_GB2312" w:hAnsi="仿宋_GB2312" w:eastAsia="仿宋_GB2312" w:cs="仿宋_GB2312"/>
          <w:sz w:val="32"/>
          <w:szCs w:val="32"/>
          <w:lang w:val="en-US" w:eastAsia="zh-CN"/>
        </w:rPr>
        <w:t>在全年的政府政务信息公开工作中，我局能够较好地完成区政府布置的工作，但是在应急预案预警信息、灾害事故救援领域这两块信息公开上更新还不够有效，特别是灾害事故救援领域，2019年由于机构改革和职能调整，原来归属民政局救灾这块工作刚转到我局，工作机制尚未理顺，手头现有的材料素材较少，更新频率及内容都未达到上级有关规定和要求，争取在2020年的政府政务信息公开工作中不断完善。</w:t>
      </w:r>
    </w:p>
    <w:p>
      <w:pPr>
        <w:widowControl/>
        <w:spacing w:line="432" w:lineRule="atLeast"/>
        <w:ind w:firstLine="480"/>
        <w:rPr>
          <w:rFonts w:hint="eastAsia" w:ascii="宋体" w:hAnsi="宋体" w:cs="宋体"/>
          <w:color w:val="000000"/>
          <w:kern w:val="0"/>
          <w:sz w:val="24"/>
        </w:rPr>
      </w:pPr>
      <w:r>
        <w:rPr>
          <w:rFonts w:hint="eastAsia" w:ascii="宋体" w:hAnsi="宋体" w:cs="宋体"/>
          <w:b/>
          <w:bCs/>
          <w:color w:val="000000"/>
          <w:kern w:val="0"/>
          <w:sz w:val="24"/>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宋体" w:eastAsia="仿宋_GB2312"/>
          <w:b/>
          <w:bCs/>
          <w:color w:val="000000"/>
          <w:sz w:val="32"/>
          <w:szCs w:val="32"/>
        </w:rPr>
      </w:pPr>
      <w:r>
        <w:rPr>
          <w:rFonts w:hint="eastAsia" w:ascii="仿宋_GB2312" w:hAnsi="宋体" w:eastAsia="仿宋_GB2312"/>
          <w:b/>
          <w:bCs/>
          <w:color w:val="000000"/>
          <w:sz w:val="32"/>
          <w:szCs w:val="32"/>
        </w:rPr>
        <w:t>2020年工作思路</w:t>
      </w:r>
    </w:p>
    <w:p>
      <w:pPr>
        <w:keepNext w:val="0"/>
        <w:keepLines w:val="0"/>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仿宋_GB2312" w:eastAsia="仿宋_GB2312"/>
          <w:sz w:val="32"/>
        </w:rPr>
      </w:pPr>
      <w:r>
        <w:rPr>
          <w:rFonts w:hint="eastAsia" w:ascii="仿宋_GB2312" w:eastAsia="仿宋_GB2312"/>
          <w:sz w:val="32"/>
        </w:rPr>
        <w:t>针对201</w:t>
      </w:r>
      <w:r>
        <w:rPr>
          <w:rFonts w:hint="eastAsia" w:ascii="仿宋_GB2312" w:eastAsia="仿宋_GB2312"/>
          <w:sz w:val="32"/>
          <w:lang w:val="en-US" w:eastAsia="zh-CN"/>
        </w:rPr>
        <w:t>9</w:t>
      </w:r>
      <w:r>
        <w:rPr>
          <w:rFonts w:hint="eastAsia" w:ascii="仿宋_GB2312" w:eastAsia="仿宋_GB2312"/>
          <w:sz w:val="32"/>
        </w:rPr>
        <w:t>年工作中存在的问题，</w:t>
      </w:r>
      <w:r>
        <w:rPr>
          <w:rFonts w:hint="eastAsia" w:ascii="仿宋_GB2312" w:hAnsi="仿宋_GB2312" w:eastAsia="仿宋_GB2312" w:cs="仿宋_GB2312"/>
          <w:sz w:val="32"/>
          <w:szCs w:val="32"/>
          <w:lang w:val="en-US" w:eastAsia="zh-CN"/>
        </w:rPr>
        <w:t>我局要继续</w:t>
      </w:r>
      <w:r>
        <w:rPr>
          <w:rFonts w:ascii="仿宋_GB2312" w:hAnsi="仿宋_GB2312" w:eastAsia="仿宋_GB2312" w:cs="仿宋_GB2312"/>
          <w:sz w:val="32"/>
          <w:szCs w:val="32"/>
        </w:rPr>
        <w:t>充分认识推进政务公开</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的重大意义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把坚持和完善政务公开制度作为发展社会主义民主政治的一项重要内容，进一步增强推进政务公开的责任感和自觉性，采取有力措施确保政务公开不断深入发展。</w:t>
      </w:r>
      <w:r>
        <w:rPr>
          <w:rFonts w:hint="eastAsia" w:ascii="仿宋_GB2312" w:eastAsia="仿宋_GB2312"/>
          <w:sz w:val="32"/>
        </w:rPr>
        <w:t>。</w:t>
      </w:r>
    </w:p>
    <w:p>
      <w:pPr>
        <w:keepNext w:val="0"/>
        <w:keepLines w:val="0"/>
        <w:pageBreakBefore w:val="0"/>
        <w:kinsoku/>
        <w:wordWrap/>
        <w:overflowPunct/>
        <w:topLinePunct w:val="0"/>
        <w:autoSpaceDE/>
        <w:autoSpaceDN/>
        <w:bidi w:val="0"/>
        <w:adjustRightInd/>
        <w:snapToGrid/>
        <w:spacing w:beforeLines="0" w:afterLines="0" w:line="520" w:lineRule="exact"/>
        <w:ind w:firstLine="643" w:firstLineChars="200"/>
        <w:textAlignment w:val="auto"/>
        <w:rPr>
          <w:rFonts w:hint="default" w:ascii="仿宋_GB2312" w:eastAsia="仿宋_GB2312"/>
          <w:sz w:val="32"/>
        </w:rPr>
      </w:pPr>
      <w:r>
        <w:rPr>
          <w:rFonts w:hint="eastAsia" w:ascii="楷体_GB2312" w:eastAsia="楷体_GB2312"/>
          <w:b/>
          <w:sz w:val="32"/>
        </w:rPr>
        <w:t>（一）继续做好主动公开工作。</w:t>
      </w:r>
      <w:r>
        <w:rPr>
          <w:rFonts w:hint="eastAsia" w:ascii="仿宋_GB2312" w:eastAsia="仿宋_GB2312"/>
          <w:sz w:val="32"/>
        </w:rPr>
        <w:t>要确保每个月都有信息更新，在稳定信息数量的基础上，把涉及群众切身利益、需要社会公众广泛知晓或者参与的政府信息作为公开重点，积极做好</w:t>
      </w:r>
      <w:r>
        <w:rPr>
          <w:rFonts w:hint="eastAsia" w:ascii="仿宋_GB2312" w:eastAsia="仿宋_GB2312"/>
          <w:sz w:val="32"/>
          <w:lang w:val="en-US" w:eastAsia="zh-CN"/>
        </w:rPr>
        <w:t>安全生产、</w:t>
      </w:r>
      <w:r>
        <w:rPr>
          <w:rFonts w:hint="eastAsia" w:ascii="仿宋_GB2312" w:hAnsi="仿宋_GB2312" w:eastAsia="仿宋_GB2312" w:cs="仿宋_GB2312"/>
          <w:sz w:val="32"/>
          <w:szCs w:val="32"/>
          <w:lang w:val="en-US" w:eastAsia="zh-CN"/>
        </w:rPr>
        <w:t>应急预案预警信息、灾害事故救援领域</w:t>
      </w:r>
      <w:r>
        <w:rPr>
          <w:rFonts w:hint="eastAsia" w:ascii="仿宋_GB2312" w:eastAsia="仿宋_GB2312"/>
          <w:sz w:val="32"/>
        </w:rPr>
        <w:t>等领域政府信息的发布工作，不断拓宽信息公开的深度和广度，提高政府工作透明度。</w:t>
      </w:r>
    </w:p>
    <w:p>
      <w:pPr>
        <w:keepNext w:val="0"/>
        <w:keepLines w:val="0"/>
        <w:pageBreakBefore w:val="0"/>
        <w:kinsoku/>
        <w:wordWrap/>
        <w:overflowPunct/>
        <w:topLinePunct w:val="0"/>
        <w:autoSpaceDE/>
        <w:autoSpaceDN/>
        <w:bidi w:val="0"/>
        <w:adjustRightInd/>
        <w:snapToGrid/>
        <w:spacing w:beforeLines="0" w:afterLines="0" w:line="520" w:lineRule="exact"/>
        <w:ind w:firstLine="643" w:firstLineChars="200"/>
        <w:textAlignment w:val="auto"/>
        <w:rPr>
          <w:rFonts w:hint="default" w:ascii="仿宋_GB2312" w:eastAsia="仿宋_GB2312"/>
          <w:sz w:val="32"/>
        </w:rPr>
      </w:pPr>
      <w:r>
        <w:rPr>
          <w:rFonts w:hint="eastAsia" w:ascii="楷体_GB2312" w:eastAsia="楷体_GB2312"/>
          <w:b/>
          <w:sz w:val="32"/>
        </w:rPr>
        <w:t>（二）严格落实行政处罚结果信息网上公开工作。</w:t>
      </w:r>
      <w:r>
        <w:rPr>
          <w:rFonts w:hint="eastAsia" w:ascii="仿宋_GB2312" w:eastAsia="仿宋_GB2312"/>
          <w:sz w:val="32"/>
        </w:rPr>
        <w:t>要</w:t>
      </w:r>
      <w:r>
        <w:rPr>
          <w:rFonts w:hint="eastAsia" w:ascii="仿宋_GB2312" w:eastAsia="仿宋_GB2312"/>
          <w:sz w:val="32"/>
          <w:lang w:val="en-US" w:eastAsia="zh-CN"/>
        </w:rPr>
        <w:t>继续</w:t>
      </w:r>
      <w:r>
        <w:rPr>
          <w:rFonts w:hint="eastAsia" w:ascii="仿宋_GB2312" w:eastAsia="仿宋_GB2312"/>
          <w:sz w:val="32"/>
        </w:rPr>
        <w:t>严格执行《浙江省行政处罚结果信息网上公开暂行办法》相关规定，凡适用一般程序作出或变更的行政处罚决定除具有不予网上公开的情形外，都必须在20个工作日内在网上主动公开。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新的一年，我局要继续</w:t>
      </w:r>
      <w:r>
        <w:rPr>
          <w:rFonts w:hint="eastAsia" w:ascii="仿宋_GB2312" w:hAnsi="仿宋_GB2312" w:eastAsia="仿宋_GB2312" w:cs="仿宋_GB2312"/>
          <w:sz w:val="32"/>
          <w:szCs w:val="32"/>
        </w:rPr>
        <w:t>对照评估指标进行自查自纠，对</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已经达标的工作进行巩固和完善，将</w:t>
      </w:r>
      <w:r>
        <w:rPr>
          <w:rFonts w:hint="eastAsia" w:ascii="仿宋_GB2312" w:hAnsi="仿宋_GB2312" w:eastAsia="仿宋_GB2312" w:cs="仿宋_GB2312"/>
          <w:sz w:val="32"/>
          <w:szCs w:val="32"/>
          <w:lang w:val="en-US" w:eastAsia="zh-CN"/>
        </w:rPr>
        <w:t>2019年更新较少的</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特别是灾害事故救援领域这块公开内容</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的重点工作，明确责任和目标，</w:t>
      </w:r>
      <w:r>
        <w:rPr>
          <w:rFonts w:hint="eastAsia" w:ascii="仿宋_GB2312" w:hAnsi="仿宋_GB2312" w:eastAsia="仿宋_GB2312" w:cs="仿宋_GB2312"/>
          <w:sz w:val="32"/>
          <w:szCs w:val="32"/>
          <w:lang w:val="en-US" w:eastAsia="zh-CN"/>
        </w:rPr>
        <w:t>保证完成区政府部署的工作要求</w:t>
      </w:r>
      <w:r>
        <w:rPr>
          <w:rFonts w:hint="eastAsia" w:ascii="仿宋_GB2312" w:hAnsi="仿宋_GB2312" w:eastAsia="仿宋_GB2312" w:cs="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ZWMwNWI3ZGUxNWI3MmQ1ZDAxNzgyZjQ0OGYzYjgifQ=="/>
  </w:docVars>
  <w:rsids>
    <w:rsidRoot w:val="621040A8"/>
    <w:rsid w:val="0ABF2485"/>
    <w:rsid w:val="4C3B34C8"/>
    <w:rsid w:val="62104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1915</Words>
  <Characters>1988</Characters>
  <Lines>0</Lines>
  <Paragraphs>0</Paragraphs>
  <TotalTime>2</TotalTime>
  <ScaleCrop>false</ScaleCrop>
  <LinksUpToDate>false</LinksUpToDate>
  <CharactersWithSpaces>2184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2020-02-17T02:06:00Z</dcterms:created>
  <dc:creator>陈霞</dc:creator>
  <cp:lastModifiedBy>红色丶彼岸花</cp:lastModifiedBy>
  <dcterms:modified xsi:type="dcterms:W3CDTF">2023-04-14T06:17:49Z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4BFA8575F4DB4D51B3E4CA754DFAF07B</vt:lpwstr>
  </property>
</Properties>
</file>