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国家税务总局嘉兴市秀洲区税务局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/>
          <w:b/>
          <w:color w:val="FF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（一）主动公开情况。</w:t>
      </w:r>
      <w:r>
        <w:rPr>
          <w:rFonts w:hint="eastAsia" w:ascii="仿宋_GB2312" w:eastAsia="仿宋_GB2312"/>
          <w:sz w:val="32"/>
        </w:rPr>
        <w:t>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年，国家税务总局嘉兴市秀洲税务局</w:t>
      </w:r>
      <w:r>
        <w:rPr>
          <w:rFonts w:hint="eastAsia" w:ascii="仿宋_GB2312" w:eastAsia="仿宋_GB2312"/>
          <w:sz w:val="32"/>
          <w:lang w:eastAsia="zh-CN"/>
        </w:rPr>
        <w:t>认真贯彻落实</w:t>
      </w:r>
      <w:r>
        <w:rPr>
          <w:rFonts w:hint="eastAsia" w:ascii="仿宋_GB2312" w:eastAsia="仿宋_GB2312"/>
          <w:sz w:val="32"/>
          <w:lang w:val="en-US" w:eastAsia="zh-CN"/>
        </w:rPr>
        <w:t>《中华人民共和国政府信息公开条例》、国办发〔2021〕12号、浙政办发〔2021〕28号、嘉政办发〔2021〕32号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有关文件精神和工作要求,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进一步加强领导、健全制度、规范程序，以公开为常态、不公开为例外，政府信息公开工作进一步提升。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年度，我局在秀洲区政府门户网站</w:t>
      </w:r>
      <w:r>
        <w:rPr>
          <w:rFonts w:hint="eastAsia" w:ascii="仿宋_GB2312" w:eastAsia="仿宋_GB2312"/>
          <w:sz w:val="32"/>
          <w:szCs w:val="32"/>
          <w:lang w:eastAsia="zh-CN"/>
        </w:rPr>
        <w:t>及嘉兴市税务局网站</w:t>
      </w:r>
      <w:r>
        <w:rPr>
          <w:rFonts w:hint="eastAsia" w:ascii="仿宋_GB2312" w:eastAsia="仿宋_GB2312"/>
          <w:sz w:val="32"/>
          <w:szCs w:val="32"/>
        </w:rPr>
        <w:t>上</w:t>
      </w:r>
      <w:r>
        <w:rPr>
          <w:rFonts w:hint="eastAsia" w:ascii="仿宋_GB2312" w:eastAsia="仿宋_GB2312"/>
          <w:sz w:val="32"/>
          <w:szCs w:val="32"/>
          <w:lang w:eastAsia="zh-CN"/>
        </w:rPr>
        <w:t>主动</w:t>
      </w:r>
      <w:r>
        <w:rPr>
          <w:rFonts w:hint="eastAsia" w:ascii="仿宋_GB2312" w:eastAsia="仿宋_GB2312"/>
          <w:sz w:val="32"/>
          <w:szCs w:val="32"/>
        </w:rPr>
        <w:t>公开政府信息事项</w:t>
      </w:r>
      <w:r>
        <w:rPr>
          <w:rFonts w:hint="eastAsia" w:ascii="仿宋_GB2312" w:eastAsia="仿宋_GB2312"/>
          <w:sz w:val="32"/>
          <w:szCs w:val="32"/>
          <w:lang w:eastAsia="zh-CN"/>
        </w:rPr>
        <w:t>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206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，其中行政许可公示双平台共计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100条，行政处罚决定公示双平台共计14条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（二）依申请公开情况。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2021年度，我局共收到政府信息公开申请4件,申请来源均为自然人，</w:t>
      </w:r>
      <w:r>
        <w:rPr>
          <w:rFonts w:ascii="仿宋_GB2312" w:eastAsia="仿宋_GB2312"/>
          <w:sz w:val="32"/>
          <w:szCs w:val="32"/>
        </w:rPr>
        <w:t>答复依申请信息公开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  <w:lang w:eastAsia="zh-CN"/>
        </w:rPr>
        <w:t>，不予公开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4件。所有申请事项均按期办结，未发生行政复议与行政诉讼。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（三）政府信息管理情况。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我局全面推进权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责清单公开，优化修改运行流程，制定了政府信息公开工作制度、动态调整制度、政务公开发布协调制度等，</w:t>
      </w:r>
      <w:r>
        <w:rPr>
          <w:rFonts w:ascii="仿宋_GB2312" w:eastAsia="仿宋_GB2312"/>
          <w:sz w:val="32"/>
          <w:szCs w:val="32"/>
        </w:rPr>
        <w:t>确立了分管领导</w:t>
      </w:r>
      <w:r>
        <w:rPr>
          <w:rFonts w:hint="eastAsia" w:ascii="仿宋_GB2312" w:eastAsia="仿宋_GB2312"/>
          <w:sz w:val="32"/>
          <w:szCs w:val="32"/>
        </w:rPr>
        <w:t>主要</w:t>
      </w:r>
      <w:r>
        <w:rPr>
          <w:rFonts w:ascii="仿宋_GB2312" w:eastAsia="仿宋_GB2312"/>
          <w:sz w:val="32"/>
          <w:szCs w:val="32"/>
        </w:rPr>
        <w:t>负责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办公室统筹</w:t>
      </w:r>
      <w:r>
        <w:rPr>
          <w:rFonts w:hint="eastAsia" w:ascii="仿宋_GB2312" w:eastAsia="仿宋_GB2312"/>
          <w:sz w:val="32"/>
          <w:szCs w:val="32"/>
          <w:lang w:eastAsia="zh-CN"/>
        </w:rPr>
        <w:t>、法制审核</w:t>
      </w:r>
      <w:r>
        <w:rPr>
          <w:rFonts w:hint="eastAsia" w:ascii="仿宋_GB2312" w:eastAsia="仿宋_GB2312"/>
          <w:sz w:val="32"/>
          <w:szCs w:val="32"/>
        </w:rPr>
        <w:t>的工作流程，严格执行公开审查程序，确保公开信息的及时性、准确性。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（四）平台建设情况。</w:t>
      </w:r>
      <w:r>
        <w:rPr>
          <w:rFonts w:hint="eastAsia" w:ascii="仿宋_GB2312" w:eastAsia="仿宋_GB2312"/>
          <w:sz w:val="32"/>
          <w:szCs w:val="32"/>
          <w:lang w:eastAsia="zh-CN"/>
        </w:rPr>
        <w:t>我局以网络平台为主体，强化政府信息公开渠道建设，立足</w:t>
      </w:r>
      <w:r>
        <w:rPr>
          <w:rFonts w:hint="eastAsia" w:ascii="仿宋_GB2312" w:eastAsia="仿宋_GB2312"/>
          <w:sz w:val="32"/>
          <w:szCs w:val="32"/>
        </w:rPr>
        <w:t>秀洲区政府门户网站</w:t>
      </w:r>
      <w:r>
        <w:rPr>
          <w:rFonts w:hint="eastAsia" w:ascii="仿宋_GB2312" w:eastAsia="仿宋_GB2312"/>
          <w:sz w:val="32"/>
          <w:szCs w:val="32"/>
          <w:lang w:eastAsia="zh-CN"/>
        </w:rPr>
        <w:t>及嘉兴市税务局网站，发挥双平台优势，强化平台数据的日常维护。按时保质地做好相关栏目的信息发布。同时充分运用办税服务厅电子公告栏，定期发布行政许可、欠税公告等信息，进一步畅通信息公开渠道。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（五）监督保障情况。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局重视加强政府信息公开工作制度建设，建立健全了《政府信息公开保密审查制度》、《政府信息公开发布审核制度》等相关制度，规范了信息发布工作，严格遵循“谁审查、谁负责，谁发布、谁负责，先审查、后发布”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1147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隶书_GBK" w:hAnsi="方正隶书_GBK" w:eastAsia="方正隶书_GBK" w:cs="方正隶书_GBK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隶书_GBK" w:hAnsi="方正隶书_GBK" w:eastAsia="方正隶书_GBK" w:cs="方正隶书_GBK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（一）存在的主要问题。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2021年，我局政府信息公开工作虽然取得了一些成效，但仍存在一些不足，主要表现为：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主动公开政府信息内容与公众的需求还存在一定差差距，工作机制有待进一步完善。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改进措施。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2022年，我局将继续深入贯彻落实党中央、国务院关于政务公开工作的系列部署要求，发挥政务公开工作领导小组及其办公室的职能作用，强化政府信息公开工作的组织领导和部署落实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，完善工作协调机制，强化工作分析，针对纳税人、缴费人的需求不断提升政务公开工作水平。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0743D"/>
    <w:rsid w:val="3F4659BA"/>
    <w:rsid w:val="7B353765"/>
    <w:rsid w:val="7BA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2022-01-18T06:26:00Z</dcterms:created>
  <dc:creator>admin</dc:creator>
  <cp:lastModifiedBy>李小雨</cp:lastModifiedBy>
  <dcterms:modified xsi:type="dcterms:W3CDTF">2022-01-21T06:27:37Z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