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1"/>
        <w:tblpPr w:leftFromText="180" w:rightFromText="180" w:vertAnchor="page" w:horzAnchor="page" w:tblpX="1706" w:tblpY="2206"/>
        <w:tblOverlap w:val="never"/>
        <w:tblW w:w="89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5"/>
        <w:gridCol w:w="1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78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distribute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FF0000"/>
                <w:spacing w:val="-23"/>
                <w:w w:val="60"/>
                <w:sz w:val="72"/>
                <w:szCs w:val="7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-28"/>
                <w:w w:val="50"/>
                <w:sz w:val="78"/>
                <w:szCs w:val="78"/>
              </w:rPr>
              <w:t>秀洲区打造均衡富庶发展、共同富裕典范领导小组</w:t>
            </w:r>
          </w:p>
        </w:tc>
        <w:tc>
          <w:tcPr>
            <w:tcW w:w="110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0" w:firstLineChars="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color w:val="FF0000"/>
                <w:sz w:val="72"/>
                <w:szCs w:val="72"/>
                <w:lang w:eastAsia="zh-CN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color w:val="FF0000"/>
                <w:spacing w:val="-28"/>
                <w:w w:val="60"/>
                <w:kern w:val="2"/>
                <w:sz w:val="78"/>
                <w:szCs w:val="78"/>
                <w:lang w:val="en-US" w:eastAsia="zh-CN" w:bidi="ar-SA"/>
              </w:rPr>
              <w:t>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78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3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left="0" w:firstLine="0" w:firstLineChars="0"/>
              <w:jc w:val="distribute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FF0000"/>
                <w:spacing w:val="-23"/>
                <w:w w:val="60"/>
                <w:sz w:val="72"/>
                <w:szCs w:val="7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color w:val="FF0000"/>
                <w:spacing w:val="-28"/>
                <w:w w:val="50"/>
                <w:kern w:val="2"/>
                <w:sz w:val="78"/>
                <w:szCs w:val="78"/>
                <w:lang w:val="en-US" w:eastAsia="zh-CN" w:bidi="ar-SA"/>
              </w:rPr>
              <w:t>秀洲区创建国家城乡融合发展试验区工作领导小组</w:t>
            </w:r>
          </w:p>
        </w:tc>
        <w:tc>
          <w:tcPr>
            <w:tcW w:w="110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jc w:val="center"/>
              <w:textAlignment w:val="auto"/>
              <w:rPr>
                <w:rFonts w:hint="eastAsia"/>
                <w:color w:val="FF0000"/>
                <w:sz w:val="72"/>
                <w:szCs w:val="72"/>
                <w:vertAlign w:val="baseline"/>
                <w:lang w:val="en-US" w:eastAsia="zh-CN"/>
              </w:rPr>
            </w:pPr>
          </w:p>
        </w:tc>
      </w:tr>
    </w:tbl>
    <w:p>
      <w:pPr>
        <w:overflowPunct w:val="0"/>
        <w:jc w:val="center"/>
        <w:rPr>
          <w:rFonts w:hint="eastAsia"/>
          <w:spacing w:val="-10"/>
        </w:rPr>
      </w:pPr>
    </w:p>
    <w:p>
      <w:pPr>
        <w:overflowPunct w:val="0"/>
        <w:jc w:val="center"/>
        <w:rPr>
          <w:spacing w:val="-10"/>
        </w:rPr>
      </w:pPr>
      <w:r>
        <w:rPr>
          <w:rFonts w:hint="eastAsia"/>
          <w:spacing w:val="-10"/>
        </w:rPr>
        <w:t>秀洲共富</w:t>
      </w:r>
      <w:r>
        <w:rPr>
          <w:rFonts w:hint="eastAsia" w:hAnsi="宋体"/>
        </w:rPr>
        <w:t>〔</w:t>
      </w:r>
      <w:r>
        <w:rPr>
          <w:rFonts w:hint="eastAsia"/>
        </w:rPr>
        <w:t>2023</w:t>
      </w:r>
      <w:r>
        <w:rPr>
          <w:rFonts w:hint="eastAsia" w:hAnsi="宋体"/>
        </w:rPr>
        <w:t>〕</w:t>
      </w:r>
      <w:r>
        <w:rPr>
          <w:rFonts w:hAnsi="宋体"/>
        </w:rPr>
        <w:t>1</w:t>
      </w:r>
      <w:r>
        <w:rPr>
          <w:rFonts w:hint="eastAsia"/>
        </w:rPr>
        <w:t>号</w:t>
      </w:r>
    </w:p>
    <w:tbl>
      <w:tblPr>
        <w:tblStyle w:val="20"/>
        <w:tblW w:w="8823" w:type="dxa"/>
        <w:jc w:val="center"/>
        <w:tblBorders>
          <w:top w:val="single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3"/>
      </w:tblGrid>
      <w:tr>
        <w:tblPrEx>
          <w:tblBorders>
            <w:top w:val="single" w:color="FF0000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3" w:type="dxa"/>
            <w:tcBorders>
              <w:top w:val="single" w:color="FF0000" w:sz="24" w:space="0"/>
            </w:tcBorders>
          </w:tcPr>
          <w:p>
            <w:pPr>
              <w:overflowPunct w:val="0"/>
              <w:spacing w:line="600" w:lineRule="exact"/>
              <w:rPr>
                <w:rFonts w:cs="Times New Roman"/>
                <w:sz w:val="30"/>
                <w:szCs w:val="30"/>
              </w:rPr>
            </w:pPr>
          </w:p>
        </w:tc>
      </w:tr>
    </w:tbl>
    <w:p>
      <w:pPr>
        <w:overflowPunct w:val="0"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2"/>
          <w:szCs w:val="42"/>
          <w:lang w:val="zh-CN"/>
        </w:rPr>
      </w:pPr>
      <w:r>
        <w:rPr>
          <w:rFonts w:hint="eastAsia" w:eastAsia="方正小标宋简体" w:cs="方正小标宋简体" w:asciiTheme="minorHAnsi" w:hAnsiTheme="minorHAnsi"/>
          <w:b/>
          <w:bCs/>
          <w:sz w:val="42"/>
          <w:szCs w:val="42"/>
        </w:rPr>
        <w:t>关于印发《</w:t>
      </w:r>
      <w:r>
        <w:rPr>
          <w:rFonts w:hint="eastAsia" w:ascii="方正小标宋简体" w:hAnsi="方正小标宋简体" w:eastAsia="方正小标宋简体" w:cs="方正小标宋简体"/>
          <w:b/>
          <w:bCs/>
          <w:sz w:val="42"/>
          <w:szCs w:val="42"/>
          <w:lang w:val="zh-CN"/>
        </w:rPr>
        <w:t>秀洲区关于加强城乡融合新社区建设的若干意见</w:t>
      </w:r>
      <w:r>
        <w:rPr>
          <w:rFonts w:hint="eastAsia" w:eastAsia="方正小标宋简体" w:cs="方正小标宋简体" w:asciiTheme="minorHAnsi" w:hAnsiTheme="minorHAnsi"/>
          <w:b/>
          <w:bCs/>
          <w:sz w:val="42"/>
          <w:szCs w:val="42"/>
        </w:rPr>
        <w:t>》的通知</w:t>
      </w:r>
    </w:p>
    <w:p>
      <w:pPr>
        <w:overflowPunct w:val="0"/>
        <w:spacing w:line="560" w:lineRule="exact"/>
        <w:rPr>
          <w:rFonts w:ascii="黑体" w:eastAsia="黑体" w:cs="黑体"/>
          <w:spacing w:val="-10"/>
        </w:rPr>
      </w:pPr>
    </w:p>
    <w:p>
      <w:pPr>
        <w:overflowPunct w:val="0"/>
        <w:spacing w:line="560" w:lineRule="exact"/>
        <w:rPr>
          <w:rFonts w:asciiTheme="minorHAnsi" w:hAnsiTheme="minorHAnsi"/>
          <w:spacing w:val="-4"/>
        </w:rPr>
      </w:pPr>
      <w:r>
        <w:rPr>
          <w:rFonts w:hint="eastAsia" w:hAnsi="仿宋_GB2312"/>
          <w:snapToGrid w:val="0"/>
          <w:spacing w:val="-6"/>
          <w:kern w:val="0"/>
        </w:rPr>
        <w:t>各镇、街道党委（党工委）、政府（办事处），高新区党工委、管委会，区级机关</w:t>
      </w:r>
      <w:r>
        <w:rPr>
          <w:rFonts w:hint="eastAsia"/>
          <w:spacing w:val="-4"/>
        </w:rPr>
        <w:t>有关</w:t>
      </w:r>
      <w:r>
        <w:rPr>
          <w:rFonts w:hint="eastAsia" w:hAnsi="仿宋_GB2312"/>
          <w:snapToGrid w:val="0"/>
          <w:spacing w:val="-6"/>
          <w:kern w:val="0"/>
        </w:rPr>
        <w:t>部门</w:t>
      </w:r>
      <w:r>
        <w:rPr>
          <w:rFonts w:hint="eastAsia" w:asciiTheme="minorHAnsi" w:hAnsiTheme="minorHAnsi"/>
          <w:snapToGrid w:val="0"/>
          <w:spacing w:val="-6"/>
          <w:kern w:val="0"/>
        </w:rPr>
        <w:t>：</w:t>
      </w:r>
    </w:p>
    <w:p>
      <w:pPr>
        <w:overflowPunct w:val="0"/>
        <w:adjustRightInd w:val="0"/>
        <w:snapToGrid w:val="0"/>
        <w:spacing w:line="560" w:lineRule="exact"/>
        <w:rPr>
          <w:spacing w:val="-4"/>
        </w:rPr>
      </w:pPr>
      <w:r>
        <w:rPr>
          <w:rFonts w:hint="eastAsia"/>
          <w:spacing w:val="-4"/>
        </w:rPr>
        <w:t>　　现将《秀洲区关于加强城乡融合新社区建设的若干意见》印发给你们，请结合实际，认真抓好落实。</w:t>
      </w:r>
    </w:p>
    <w:p>
      <w:pPr>
        <w:overflowPunct w:val="0"/>
        <w:spacing w:line="560" w:lineRule="exact"/>
        <w:ind w:firstLine="3117" w:firstLineChars="1053"/>
        <w:jc w:val="center"/>
        <w:rPr>
          <w:color w:val="000000"/>
          <w:spacing w:val="-10"/>
        </w:rPr>
      </w:pPr>
    </w:p>
    <w:p>
      <w:pPr>
        <w:pStyle w:val="2"/>
      </w:pPr>
    </w:p>
    <w:tbl>
      <w:tblPr>
        <w:tblStyle w:val="2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9"/>
        <w:gridCol w:w="4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4530" w:type="dxa"/>
          </w:tcPr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秀洲区打造均衡富庶发展、</w:t>
            </w:r>
          </w:p>
          <w:p>
            <w:pPr>
              <w:overflowPunct w:val="0"/>
              <w:adjustRightInd w:val="0"/>
              <w:snapToGrid w:val="0"/>
              <w:spacing w:line="560" w:lineRule="exact"/>
              <w:jc w:val="center"/>
              <w:rPr>
                <w:vertAlign w:val="baseline"/>
              </w:rPr>
            </w:pPr>
            <w:r>
              <w:rPr>
                <w:rFonts w:hint="eastAsia"/>
                <w:spacing w:val="-4"/>
              </w:rPr>
              <w:t>共同富裕典范领导小组</w:t>
            </w:r>
          </w:p>
        </w:tc>
        <w:tc>
          <w:tcPr>
            <w:tcW w:w="4530" w:type="dxa"/>
          </w:tcPr>
          <w:p>
            <w:pPr>
              <w:pStyle w:val="25"/>
              <w:overflowPunct w:val="0"/>
              <w:jc w:val="center"/>
              <w:rPr>
                <w:rFonts w:hint="eastAsia" w:ascii="仿宋_GB2312" w:hAnsi="Times New Roman" w:eastAsia="仿宋_GB2312" w:cs="仿宋_GB2312"/>
                <w:color w:val="auto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pacing w:val="-4"/>
                <w:kern w:val="2"/>
                <w:sz w:val="32"/>
                <w:szCs w:val="32"/>
                <w:lang w:val="en-US" w:eastAsia="zh-CN" w:bidi="ar-SA"/>
              </w:rPr>
              <w:t>秀洲区创建国家城乡融合发展</w:t>
            </w:r>
          </w:p>
          <w:p>
            <w:pPr>
              <w:pStyle w:val="25"/>
              <w:overflowPunct w:val="0"/>
              <w:jc w:val="center"/>
              <w:rPr>
                <w:rFonts w:hint="eastAsia" w:ascii="仿宋_GB2312" w:hAnsi="Times New Roman" w:eastAsia="仿宋_GB2312" w:cs="仿宋_GB2312"/>
                <w:color w:val="auto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pacing w:val="-4"/>
                <w:kern w:val="2"/>
                <w:sz w:val="32"/>
                <w:szCs w:val="32"/>
                <w:lang w:val="en-US" w:eastAsia="zh-CN" w:bidi="ar-SA"/>
              </w:rPr>
              <w:t>试验区工作领导小组</w:t>
            </w:r>
          </w:p>
          <w:p>
            <w:pPr>
              <w:pStyle w:val="25"/>
              <w:overflowPunct w:val="0"/>
              <w:jc w:val="center"/>
              <w:rPr>
                <w:rFonts w:hint="eastAsia" w:ascii="仿宋_GB2312" w:hAnsi="Times New Roman" w:eastAsia="仿宋_GB2312" w:cs="仿宋_GB2312"/>
                <w:color w:val="auto"/>
                <w:spacing w:val="-4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pacing w:val="-4"/>
                <w:kern w:val="2"/>
                <w:sz w:val="32"/>
                <w:szCs w:val="32"/>
                <w:lang w:val="en-US" w:eastAsia="zh-CN" w:bidi="ar-SA"/>
              </w:rPr>
              <w:t>2023年3月31日</w:t>
            </w:r>
          </w:p>
        </w:tc>
      </w:tr>
    </w:tbl>
    <w:p>
      <w:pPr>
        <w:wordWrap w:val="0"/>
        <w:overflowPunct w:val="0"/>
        <w:spacing w:line="560" w:lineRule="exact"/>
        <w:jc w:val="both"/>
        <w:rPr>
          <w:spacing w:val="-10"/>
        </w:rPr>
        <w:sectPr>
          <w:footerReference r:id="rId3" w:type="default"/>
          <w:pgSz w:w="11905" w:h="16838"/>
          <w:pgMar w:top="2041" w:right="1531" w:bottom="2041" w:left="1531" w:header="1134" w:footer="1587" w:gutter="0"/>
          <w:pgNumType w:fmt="numberInDash"/>
          <w:cols w:space="0" w:num="1"/>
          <w:rtlGutter w:val="1"/>
          <w:docGrid w:type="linesAndChars" w:linePitch="580" w:charSpace="-1024"/>
        </w:sectPr>
      </w:pPr>
      <w:r>
        <w:rPr>
          <w:rFonts w:hint="eastAsia"/>
          <w:color w:val="000000"/>
          <w:spacing w:val="-28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2"/>
          <w:szCs w:val="42"/>
        </w:rPr>
        <w:t>秀洲区关于加强城乡融合新社区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/>
          <w:bCs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2"/>
          <w:szCs w:val="42"/>
        </w:rPr>
        <w:t>建设的若干意见</w:t>
      </w:r>
    </w:p>
    <w:p>
      <w:pPr>
        <w:spacing w:line="560" w:lineRule="exact"/>
        <w:rPr>
          <w:rFonts w:hAnsi="仿宋_GB2312"/>
          <w:spacing w:val="-6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城乡融合新社区是指在城市化进程中因征迁和土地整治搬迁形成，以农村居民向城市、城镇集聚或跨村组、跨镇域集聚为主要特征，介于传统农村社区和城市社区之间的一种新型社区，具有“城”与“村”交集，群体、管理、服务、矛盾多样化的特点。为重塑新型城乡关系，加强城乡融合新社区建设，提高城镇化水平，根据我区实际，结合省、市未来社区、和美乡村（未来乡村）建设要求，特制定本意见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ascii="黑体" w:hAnsi="黑体" w:eastAsia="黑体" w:cs="黑体"/>
          <w:spacing w:val="-6"/>
        </w:rPr>
      </w:pPr>
      <w:r>
        <w:rPr>
          <w:rFonts w:hint="eastAsia" w:ascii="黑体" w:hAnsi="黑体" w:eastAsia="黑体" w:cs="黑体"/>
          <w:spacing w:val="-6"/>
        </w:rPr>
        <w:t>一、总体要求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ascii="楷体_GB2312" w:hAnsi="楷体_GB2312" w:eastAsia="楷体_GB2312" w:cs="楷体_GB2312"/>
          <w:spacing w:val="-6"/>
        </w:rPr>
      </w:pPr>
      <w:r>
        <w:rPr>
          <w:rFonts w:hint="eastAsia" w:ascii="楷体_GB2312" w:hAnsi="楷体_GB2312" w:eastAsia="楷体_GB2312" w:cs="楷体_GB2312"/>
          <w:spacing w:val="-6"/>
        </w:rPr>
        <w:t>（一）指导思想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以习近平新时代中国特色社会主义思想为指导，全面贯彻落实党的十九大和党的</w:t>
      </w:r>
      <w:bookmarkStart w:id="0" w:name="_GoBack"/>
      <w:bookmarkEnd w:id="0"/>
      <w:r>
        <w:rPr>
          <w:rFonts w:hint="eastAsia" w:hAnsi="仿宋_GB2312"/>
          <w:spacing w:val="-6"/>
        </w:rPr>
        <w:t>二十大精神，坚持以人民为中心，以党建为统领，全面加强城乡融合新社区组织体系、服务体系、治理体系建设，促进居民生活、管理、服务方式城市化，将城乡融合新社区建设成为宜居宜业，高质量发展、高标准服务、高品质生活、高效能治理、高水平安全的现代社区，“舒心、省心、暖心、安心、放心”的幸福生活美好家园、共同富裕现代化基本单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ascii="楷体_GB2312" w:hAnsi="楷体_GB2312" w:eastAsia="楷体_GB2312" w:cs="楷体_GB2312"/>
          <w:spacing w:val="-6"/>
        </w:rPr>
      </w:pPr>
      <w:r>
        <w:rPr>
          <w:rFonts w:hint="eastAsia" w:ascii="楷体_GB2312" w:hAnsi="楷体_GB2312" w:eastAsia="楷体_GB2312" w:cs="楷体_GB2312"/>
          <w:spacing w:val="-6"/>
        </w:rPr>
        <w:t>（二）主要目标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以建设“五心”幸福美好家园、满足人民群众对美好生活的向往为目标，加快建设一批优美宜居、功能配套、管理健全的城乡融合现代社区，加速农业转移人口市民化。2023—2025年，全区征搬迁集聚1万农户3.5万人，实施建设用地复垦1万亩，建设提升高标准农田4万亩，建成5个布局环境优、功能设施全、组织管理强、治理服务好的高品质城乡融合新社区，其他城乡融合新社区达到功能设施基本完备，社区组织体系、服务体系、治理体系健全完整，服务治理水平显著提高的要求，全区常住人口城镇化率达到70.2%。具体要求：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1. 布局合理、功能配套。城乡融合新社区布局、选址科学，管辖区域与人口适当，服务半径合理，资源配置有效，综合服务设施齐全，社区服务功能完善。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2. 组织健全、管理顺畅。以社区党组织为核心的各类社区组织健全、人员力量配备到位，社区班子与村班子职能清晰、管理顺畅，社区管理服务制度健全，服务居民的能力不断提升。形成社区党组织统领，各类社区组织、单位与社区居民共同参与社区公共事务和公益事业的社区治理格局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3. 服务便捷、治理高效。社区公共服务配建合理、配套齐全，文化、教育、医疗、就业、社保等全生命周期服务“触手可及”、品质与城市社区相当。“12345”社区治理工作模式全面建立，“自治、法治、德治、智治”深入融合，社区治理现代化水平大幅提升，居民安全感、幸福感、获得感持续提升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ascii="黑体" w:hAnsi="黑体" w:eastAsia="黑体" w:cs="黑体"/>
          <w:spacing w:val="-6"/>
        </w:rPr>
      </w:pPr>
      <w:r>
        <w:rPr>
          <w:rFonts w:hint="eastAsia" w:ascii="黑体" w:hAnsi="黑体" w:eastAsia="黑体" w:cs="黑体"/>
          <w:spacing w:val="-6"/>
        </w:rPr>
        <w:t>二、主要任务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ascii="楷体_GB2312" w:hAnsi="楷体_GB2312" w:eastAsia="楷体_GB2312" w:cs="楷体_GB2312"/>
          <w:spacing w:val="-6"/>
        </w:rPr>
      </w:pPr>
      <w:r>
        <w:rPr>
          <w:rFonts w:hint="eastAsia" w:ascii="楷体_GB2312" w:hAnsi="楷体_GB2312" w:eastAsia="楷体_GB2312" w:cs="楷体_GB2312"/>
          <w:spacing w:val="-6"/>
        </w:rPr>
        <w:t>（一）提升城乡融合新社区建设品质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1. 坚持整体规划，优化城乡社区布局。围绕建设“产城高度融合、城乡高度融合的现代化主城区”目标，编制完善运河湾新城总体规划，构建嘉兴国家高新区“137”发展格局，增强主城区的集聚辐射效应和嘉兴国家高新区的产城协同发展效应，加快人口产业向主城区和城镇规划区集中，提升区域新型城镇化水平。加快推进《秀洲区全域土地综合整治专项规划（2020-2035年）》，合理布点城乡融合新社区，优化城乡社区布局，推进“多规合一”的实用性村庄规划和专项规划编制，促进城市社区、城乡融合新社区、乡村社区协调发展。鼓励整镇、整村、整组甚至跨镇域实施全域全要素综合整治，扩大耕地集中连片、改善区片基础设施、提升城乡风貌和居住环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2.</w:t>
      </w:r>
      <w:r>
        <w:rPr>
          <w:rFonts w:hint="eastAsia" w:hAnsi="仿宋_GB2312"/>
          <w:spacing w:val="-6"/>
          <w:lang w:val="en-US" w:eastAsia="zh-CN"/>
        </w:rPr>
        <w:t xml:space="preserve"> </w:t>
      </w:r>
      <w:r>
        <w:rPr>
          <w:rFonts w:hint="eastAsia" w:hAnsi="仿宋_GB2312"/>
          <w:spacing w:val="-6"/>
        </w:rPr>
        <w:t>优化安置方式，加快城乡融合新社区建设。积极推进宅基地有偿退出，鼓励公寓式安置，探索跨镇域向城市搬迁安置，加快农村居民居住向市区、城镇集聚。加快安置房建设进度，变“人等房”为“房等人”，切实保障征搬迁农民权益。鼓励社会资本参与城乡融合新社区建设，保障建设质量。加快火炬、陈家坝、沈家桥、蚂桥、大桥（悦和）等高品质城乡融合新社区建设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3. 完善设施功能，提升社区建设品质。统筹推进全域土地综合整治、新社区建设、社区服务与周边配套完善，新社区优先安排区位交通便利、周边配套完善的地块。完善社区布局规划，均衡布点社区公共服务设施，社区服务用房与社区建设同步规划、同步建设、同步使用，提升城乡融合新社区整体品质。鼓励按未来社区标准规划建设城乡融合新社区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 w:val="0"/>
        <w:snapToGrid w:val="0"/>
        <w:spacing w:line="560" w:lineRule="exact"/>
        <w:ind w:firstLine="608" w:firstLineChars="200"/>
        <w:jc w:val="left"/>
        <w:textAlignment w:val="auto"/>
        <w:rPr>
          <w:rFonts w:ascii="楷体_GB2312" w:hAnsi="楷体_GB2312" w:eastAsia="楷体_GB2312" w:cs="楷体_GB2312"/>
          <w:spacing w:val="-6"/>
        </w:rPr>
      </w:pPr>
      <w:r>
        <w:rPr>
          <w:rFonts w:hint="eastAsia" w:ascii="楷体_GB2312" w:hAnsi="楷体_GB2312" w:eastAsia="楷体_GB2312" w:cs="楷体_GB2312"/>
          <w:spacing w:val="-6"/>
        </w:rPr>
        <w:t>（二）健全城乡融合新社区组织架构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1. 建立健全城乡融合新社区党组织、社区管理组织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（1）整村征搬迁形成的新社区。初期由原村级组织承担新社区的管理服务职能。当入住居民达到规划人口规模30%左右或村级组织管理有困难时，应及时建立社区管理委员会，暂行社区居委会的部分职责，并负责新社区筹建工作。入住居民增至规划人口规模的50%左右时应报区政府审批成立新社区，新社区批复成立后，应及时成立社区党组织，选优配强党组织书记。待新社区运作基本顺畅，居民人缘相近、相处和谐，具备选举条件时，应撤销管委会，依法选举产生新社区居民委员会。其中，整村征迁的，若土地征收已完成则同步开展撤村建居工作，若未完成则先建居后撤村。社区居民委员会建立后，村班子保留的，原则上按最少人员配置，形成以社区为主的人员配置格局，同时做好居委会与村委会的事权划分，社区班子全面负责日常管理和服务工作，村班子负责经济合作社运作、承包地流转等事务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（2）多村征搬迁形成的新社区。多村征搬迁形成的新社区，应及时建立“1+X”新社区综合党委，选优配强综合党委书记，对情况复杂的新社区可以选配副科级干部担任社区第一书记。健全社区大党委工作机制，充分发挥新社区综合党委牵头抓总、协调各方的作用。新社区居民入住后，应及时建立社区管理委员会，负责新社区筹建工作，并与各村级组织分工负责新社区人员的管理与服务。待新社区入住居民增至社区规划人口规模的50%左右时应报区政府审批成立新社区，待新社区运作基本顺畅，居民人缘相近、相处和谐，具备选举条件时，应撤销管委会，依法选举产生新社区居民委员会。社区居民委员会要加强社区常住人口的管理服务，居民日常事务由社区管理服务，涉及村民集体经济、土地等权益的由各村经济合作社办理。征迁村土地征收完成后要及时撤村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（3）同村部分征搬迁形成的新社区。原则上由原村级组织承担新社区的管理服务职能，并在集聚点推行社区化服务。新社区规划人口规模达到设置社区条件的，参照整村搬迁模式建立社区，加强新社区管理服务，同时，村班子要继续做好农村区域的管理服务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2. 建立社区居务监督委员会。建立“XX社区居务监督委员会”，与村务监督委员会共同监督社区（村）重大事项的决策执行，协调涉及居（村）民共同利益的重大活动，办理居（村）民代表会议授权的有关事项，做好日常民意的搜集、整理和反馈，监督居（村）民委员会依法履职等。社区居务监督委员会主任由社区党组织成员兼任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3. 建立居民代表会议。居民代表会议由居民代表、驻社区单位代表、社区社会组织代表、社区党组织成员、社区居民委员会成员和专职社区工作者代表组成，其中居民代表不得少于三分之二。居民代表会议人数根据社区规模确定，一般为五十一至一百零一人。城乡融合新社区重大事项要召开居（村）民代表联席会议决定，其他一般事项由居民代表会议或村民代表会议按各自职能履行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4. 选举产生居民小组长。打破村组隶属关系，以楼栋、楼道为单位，把城乡融合新社区划分为若干个居民小组，小组长在小组居民代表中推选产生，原则上与微网格长是同一人选。居民小组长的主要职责是协助社区居委会（管委会）开展各项社区管理与服务工作。居民小组长任期与社区居民委员会的任期相同，每届任期五年，可以连选连任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ascii="楷体_GB2312" w:hAnsi="楷体_GB2312" w:eastAsia="楷体_GB2312" w:cs="楷体_GB2312"/>
          <w:spacing w:val="-6"/>
        </w:rPr>
      </w:pPr>
      <w:r>
        <w:rPr>
          <w:rFonts w:hint="eastAsia" w:ascii="楷体_GB2312" w:hAnsi="楷体_GB2312" w:eastAsia="楷体_GB2312" w:cs="楷体_GB2312"/>
          <w:spacing w:val="-6"/>
        </w:rPr>
        <w:t>（三）健全城乡融合新社区管理服务制度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1. 健全民主选举制度。依据《中国共产党基层组织选举工作暂行条例》、《中华人民共和国村民委员会组织法》、《中华人民共和国城市居民委员会组织法》等有关选举办法，认真做好城乡融合新社区相关组织的换届选举工作。城乡融合新社区党组织、居委会等组织的选举要大力推行“公推直选”、“自荐直选”等方式，不断扩大基层民主，选拔政治素质好、有奉献精神、公道正派、廉洁自律的优秀人才依法进入领导班子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2. 健全民主管理制度。坚持社区党务、居（村）务、财务公开，细化公开内容，规范公开程序。切实加强民主管理规范化建设，推进城乡融合新社区的民主管理、民主监督、民主决策，增强居民的自我管理、自我教育、自我服务、自我监督意识。社区居务监督委员会每季至少召开一次会议，切实维护社区居民的知情权和监督权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3. 健全居民自治制度。完善居民自治的组织架构，建立党组织领导下的居民委员会议事决策机制，落实居民自治组织民主选举、民主决策、民主管理、民主监督职能。健全居民自治制度，建立健全居民会议(或居民代表会议)制度、居民议事监督制度、议事规则、事务听证制度、考核评价机制等各项规章制度,促进居民自治制度化、规范化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4. 健全社区协商制度。坚持依法协商、群众自治和民主集中制相结合，充分发挥党组织在社区协商中的领导核心作用，保障居民的参与权、表达权，不断增强决策的科学性和实效性。坚持居民会议、居民代表会议制度，规范议事规程和协商程序，对社区公共事务和群众广泛关心的议题，采取居民议事会、小区协商、业主协商、决策听证、民主评议等多种形式开展协商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5. 健全联系走访制度。完善落实包片联户、包网入户制度，做到人员底数清、矛盾纠纷清、群众需求清、风险隐患清。深化新时代“网格连心、组团服务”，城市社区一般以居民小区来划分，每个网格原则上覆盖不超过500户。融合型大社区大单元等情况复杂的，一般覆盖200-300户。在科学划分网格的基础上，通过设立微网格或者细分到楼道、楼栋延伸治理触角，微网格一般覆盖50-80户。建立专职网格员、兼职网格员、包联人员“三位一体”网格治理团队，每个网格按照“1+3+N”模式配备。做到小区（网格）党组织会议必到、小区议事会必到、业主（代表）大会必到、物业业委会联席会议必到。兼任专职网格员的专职社区工作者，要统筹做好社区事务和网格事务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ascii="楷体_GB2312" w:hAnsi="楷体_GB2312" w:eastAsia="楷体_GB2312" w:cs="楷体_GB2312"/>
          <w:spacing w:val="-6"/>
        </w:rPr>
      </w:pPr>
      <w:r>
        <w:rPr>
          <w:rFonts w:hint="eastAsia" w:ascii="楷体_GB2312" w:hAnsi="楷体_GB2312" w:eastAsia="楷体_GB2312" w:cs="楷体_GB2312"/>
          <w:spacing w:val="-6"/>
        </w:rPr>
        <w:t>（四）配强城乡融合新社区管理服务力量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 xml:space="preserve">1. 强化专职社区工作者配备。按每万名城镇常住人口配备18名专职社区工作者的要求配足配强城乡融合新社区工作人员。按照公开、平等、竞争、择优原则公开招聘、依法选任。依法选举的社区“两委”专职成员，在就业年龄段内的，按照程序报相关部门同意后，任期内享受专职社区工作者待遇。根据就近就便、职住兼顾原则，新进专职社区工作者由所属街道（乡镇）集中管理、所在社区分配使用。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2. 加强社区群团组织建设。建立健全新社区群团组织，形成纵向到底、横向到边、条块结合、全面覆盖的群团组织网络，建立阵地、建好队伍、拓展领域、创新载体、完善政策、规范管理，把广大职工群众、团员青年、妇女等最大限度地吸纳到工会、共青团和妇联等群团组织中来，充分发挥群团组织联系群众、服务群众、凝聚民心的作用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3. 大力培育社区社会组织。加快培育能够协助政府承担事务性工作、提供公益性服务、发展慈善事业的志愿者服务类、慈善公益类、生活服务类、社区事务类、文化体育类等社区社会组织，每个社区登记或备案的社区社会组织不少于10个，实施相应联动服务项目。注重发挥各类社区社会组织在提供公共服务、反映利益诉求、扩大公众参与、增强社会活力、促进社会发展等方面的积极作用，逐步形成社会力量广泛参与、满足居民多层次需求的社区社会组织服务体系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4. 积极推进社区社会工作。以居民需求为导向，以社工专业方法为支撑，探索建立社区社会工作室，逐步推进扁平式网络化社会管理。引入专业社工机构，大力培育和发展社区志愿服务工作体系，建立有效的志愿服务激励机制，努力形成“社工引导志愿者、志愿者协助社区”的联动工作机制，扩大社区居民参与有效的自我管理、自我服务，促进社区和谐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ascii="楷体_GB2312" w:hAnsi="楷体_GB2312" w:eastAsia="楷体_GB2312" w:cs="楷体_GB2312"/>
          <w:spacing w:val="-6"/>
        </w:rPr>
      </w:pPr>
      <w:r>
        <w:rPr>
          <w:rFonts w:hint="eastAsia" w:ascii="楷体_GB2312" w:hAnsi="楷体_GB2312" w:eastAsia="楷体_GB2312" w:cs="楷体_GB2312"/>
          <w:spacing w:val="-6"/>
        </w:rPr>
        <w:t>（五）完善城乡融合新社区服务配套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</w:rPr>
      </w:pPr>
      <w:r>
        <w:rPr>
          <w:rFonts w:hint="eastAsia" w:hAnsi="仿宋_GB2312"/>
          <w:spacing w:val="-6"/>
        </w:rPr>
        <w:t>1. 优化社区服务布局。</w:t>
      </w:r>
      <w:r>
        <w:rPr>
          <w:rFonts w:hint="eastAsia" w:hAnsi="仿宋_GB2312"/>
        </w:rPr>
        <w:t>新社区一般按1500—3000户人口规模设置，按“15分钟生活服务圈”要求完善服务配套，四至路线清晰。社区党群服务中心、新时代文明实践站一般应设在人口相对集中、交通相对便利的地段，方便社区居民的生产生活。社区党群服务中心要按照“服务区域最大化、办公区域最小化、社会效益最优化”的要求来配建，集聚规模不足500户的，按不小于750㎡标准配建；500户以上的，超出部分按50㎡/100户标准增加配建面积。社区党群服务中心、新时代文明实践站入口显眼处应统一悬挂“中国社区标识”，并规范悬挂标识标牌和机构名牌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  <w:u w:val="single"/>
        </w:rPr>
      </w:pPr>
      <w:r>
        <w:rPr>
          <w:rFonts w:hint="eastAsia" w:hAnsi="仿宋_GB2312"/>
          <w:spacing w:val="-6"/>
        </w:rPr>
        <w:t>2. 拓展社区服务功能。统筹社区党群服务中心、新时代文明实践站、社区文化家园建设，并设置明显标识。场所具备管理、服务、教育、活动、生产生活等最基本功能，一般应设办公室、调解室、阅览室、支部活动室、社工（心理）服务室、志愿服务站、综治工作站、卫生服务站、居民会客厅等，配备便民设施、服务计划、队伍名册等建设要素，周边应设有“三务”公开栏、文化宣传栏、文明公益广告等内容。应建有“一老一小”服务设施，可与党群服务中心合建，也可单独建设。有条件的可以单独或联合建设文化礼堂、社区老年食堂，以及农贸市场、便民超市、农资经营网点等。多村集聚或规模较大的新社区，可根据实际需求，在附近相对僻静处、对居民影响较小地段，按要求审批设立提供殡仪服务的公益性“怀安园”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jc w:val="left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3. 完善社区服务供给。推进社区信息化建设，建立社区居民、驻辖区企事业单位信息动态数据库，定期采集居民诉求信息，发布公共服务政策、社区管理和服务动态等信息。鼓励和支持社会力量提供养老、托育、助餐、文化体育、残疾人照料、资源链接、能力提升、关系调适、社会融入等服务。加强对小区业委会、物业公司的监督指导和协调管理，提升物业管理服务水平</w:t>
      </w:r>
      <w:r>
        <w:rPr>
          <w:rFonts w:hint="eastAsia" w:hAnsi="仿宋_GB2312"/>
          <w:color w:val="333333"/>
          <w:spacing w:val="-6"/>
          <w:shd w:val="clear" w:color="auto" w:fill="FFFFFF"/>
        </w:rPr>
        <w:t>。</w:t>
      </w:r>
      <w:r>
        <w:rPr>
          <w:rFonts w:hint="eastAsia" w:hAnsi="仿宋_GB2312"/>
          <w:spacing w:val="-6"/>
        </w:rPr>
        <w:t>深化精神文明建设工作，实施居民素质提升工程，加强家风家训建设，倡导移风易俗，形成与邻为善、以邻为伴、守望相助的良好氛围。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jc w:val="left"/>
        <w:textAlignment w:val="auto"/>
        <w:rPr>
          <w:rFonts w:hAnsi="仿宋_GB2312"/>
        </w:rPr>
      </w:pPr>
      <w:r>
        <w:rPr>
          <w:rFonts w:hint="eastAsia" w:hAnsi="仿宋_GB2312"/>
          <w:spacing w:val="-6"/>
        </w:rPr>
        <w:t>4. 理顺村社服务职能。</w:t>
      </w:r>
      <w:r>
        <w:rPr>
          <w:rFonts w:hint="eastAsia" w:hAnsi="仿宋_GB2312"/>
        </w:rPr>
        <w:t>针对新社区的双重属性和居民的双重身份，要理清社区班子和村班子的职能关系，在不断加强社区班子建设、完善社区服务的同时，对有集体统一经营资产的，村级班子要加强管理，村经济合作社要依法依规代表全体成员对农村集体资产行使占有、使用、收益和处分的权利,承担资源开发与利用、资产经营与管理、生产发展与服务、财务管理与分配等职能，建立健全资产与财务管理各项规章制度，保障本集体经济组织及其成员的合法权益，促进集体资产保值增值。鼓励开展农村“三权”的有偿转让退出改革，赋予农民更多财产权益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ascii="楷体_GB2312" w:hAnsi="楷体_GB2312" w:eastAsia="楷体_GB2312" w:cs="楷体_GB2312"/>
          <w:spacing w:val="-6"/>
        </w:rPr>
      </w:pPr>
      <w:r>
        <w:rPr>
          <w:rFonts w:hint="eastAsia" w:ascii="楷体_GB2312" w:hAnsi="楷体_GB2312" w:eastAsia="楷体_GB2312" w:cs="楷体_GB2312"/>
          <w:spacing w:val="-6"/>
        </w:rPr>
        <w:t>（六）强化城乡融合新社区基层治理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08" w:firstLineChars="200"/>
        <w:textAlignment w:val="auto"/>
        <w:rPr>
          <w:rFonts w:hAnsi="仿宋_GB2312"/>
          <w:snapToGrid w:val="0"/>
          <w:color w:val="000000"/>
          <w:spacing w:val="-6"/>
          <w:kern w:val="0"/>
        </w:rPr>
      </w:pPr>
      <w:r>
        <w:rPr>
          <w:rFonts w:hint="eastAsia" w:hAnsi="仿宋_GB2312"/>
          <w:spacing w:val="-6"/>
        </w:rPr>
        <w:t>1. 以自治主动规范。</w:t>
      </w:r>
      <w:r>
        <w:rPr>
          <w:rFonts w:hint="eastAsia" w:hAnsi="仿宋_GB2312"/>
          <w:snapToGrid w:val="0"/>
          <w:color w:val="000000"/>
          <w:spacing w:val="-6"/>
          <w:kern w:val="0"/>
        </w:rPr>
        <w:t>推动社区在广泛参与、深入协商的基础上，完善社区</w:t>
      </w:r>
      <w:r>
        <w:rPr>
          <w:rFonts w:hint="eastAsia"/>
          <w:snapToGrid w:val="0"/>
          <w:color w:val="000000"/>
          <w:spacing w:val="-6"/>
          <w:kern w:val="0"/>
        </w:rPr>
        <w:t>居民</w:t>
      </w:r>
      <w:r>
        <w:rPr>
          <w:rFonts w:hint="eastAsia" w:hAnsi="仿宋_GB2312"/>
          <w:snapToGrid w:val="0"/>
          <w:color w:val="000000"/>
          <w:spacing w:val="-6"/>
          <w:kern w:val="0"/>
        </w:rPr>
        <w:t>公约，实现</w:t>
      </w:r>
      <w:r>
        <w:rPr>
          <w:rFonts w:hint="eastAsia"/>
          <w:snapToGrid w:val="0"/>
          <w:color w:val="000000"/>
          <w:spacing w:val="-6"/>
          <w:kern w:val="0"/>
        </w:rPr>
        <w:t>社区</w:t>
      </w:r>
      <w:r>
        <w:rPr>
          <w:rFonts w:hint="eastAsia" w:hAnsi="仿宋_GB2312"/>
          <w:snapToGrid w:val="0"/>
          <w:color w:val="000000"/>
          <w:spacing w:val="-6"/>
          <w:kern w:val="0"/>
        </w:rPr>
        <w:t>居民自我管理、自我教育、自我服务。</w:t>
      </w:r>
      <w:r>
        <w:rPr>
          <w:rFonts w:hint="eastAsia" w:hAnsi="仿宋_GB2312"/>
          <w:color w:val="000000"/>
          <w:spacing w:val="-6"/>
        </w:rPr>
        <w:t>坚持和完善社区“两委”联席会议、居民会议、居民代表会议制度，</w:t>
      </w:r>
      <w:r>
        <w:rPr>
          <w:rFonts w:hint="eastAsia" w:hAnsi="仿宋_GB2312"/>
          <w:snapToGrid w:val="0"/>
          <w:color w:val="000000"/>
          <w:spacing w:val="-6"/>
          <w:kern w:val="0"/>
        </w:rPr>
        <w:t>采取民主恳谈、专家咨询、书面征询、走访约谈、沟通协调、决策听证等多种方式就群众广泛关心的议题开展协商，</w:t>
      </w:r>
      <w:r>
        <w:rPr>
          <w:rFonts w:hint="eastAsia" w:hAnsi="仿宋_GB2312"/>
          <w:color w:val="000000"/>
          <w:spacing w:val="-6"/>
        </w:rPr>
        <w:t>做到有事多协商、遇事多协商、做事多协商</w:t>
      </w:r>
      <w:r>
        <w:rPr>
          <w:rFonts w:hint="eastAsia" w:hAnsi="仿宋_GB2312"/>
          <w:snapToGrid w:val="0"/>
          <w:color w:val="000000"/>
          <w:spacing w:val="-6"/>
          <w:kern w:val="0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08" w:firstLineChars="200"/>
        <w:textAlignment w:val="auto"/>
        <w:rPr>
          <w:rFonts w:hAnsi="仿宋_GB2312"/>
          <w:snapToGrid w:val="0"/>
          <w:color w:val="000000"/>
          <w:spacing w:val="-6"/>
          <w:kern w:val="0"/>
        </w:rPr>
      </w:pPr>
      <w:r>
        <w:rPr>
          <w:rFonts w:hint="eastAsia" w:hAnsi="仿宋_GB2312"/>
          <w:spacing w:val="-6"/>
        </w:rPr>
        <w:t>2. 以法治刚性约束。</w:t>
      </w:r>
      <w:r>
        <w:rPr>
          <w:rFonts w:hint="eastAsia" w:hAnsi="仿宋_GB2312"/>
          <w:snapToGrid w:val="0"/>
          <w:color w:val="000000"/>
          <w:spacing w:val="-6"/>
          <w:kern w:val="0"/>
        </w:rPr>
        <w:t>深入推进基层治理体系法治化建设，</w:t>
      </w:r>
      <w:r>
        <w:rPr>
          <w:rFonts w:hint="eastAsia" w:hAnsi="仿宋_GB2312"/>
          <w:snapToGrid w:val="0"/>
          <w:color w:val="000000"/>
          <w:spacing w:val="-6"/>
        </w:rPr>
        <w:t>推动</w:t>
      </w:r>
      <w:r>
        <w:rPr>
          <w:rFonts w:hint="eastAsia"/>
          <w:snapToGrid w:val="0"/>
          <w:color w:val="000000"/>
          <w:spacing w:val="-6"/>
        </w:rPr>
        <w:t>法治力量资源、</w:t>
      </w:r>
      <w:r>
        <w:rPr>
          <w:rFonts w:hint="eastAsia" w:hAnsi="仿宋_GB2312"/>
          <w:snapToGrid w:val="0"/>
          <w:color w:val="000000"/>
          <w:spacing w:val="-6"/>
        </w:rPr>
        <w:t>公共法律服务向社区延伸，</w:t>
      </w:r>
      <w:r>
        <w:rPr>
          <w:rFonts w:hint="eastAsia"/>
          <w:snapToGrid w:val="0"/>
          <w:color w:val="000000"/>
          <w:spacing w:val="-6"/>
        </w:rPr>
        <w:t>运用法治思维和法治手段</w:t>
      </w:r>
      <w:r>
        <w:rPr>
          <w:rFonts w:hint="eastAsia" w:hAnsi="仿宋_GB2312"/>
          <w:snapToGrid w:val="0"/>
          <w:color w:val="000000"/>
          <w:spacing w:val="-6"/>
        </w:rPr>
        <w:t>化解矛盾纠纷、改善治理方式，</w:t>
      </w:r>
      <w:r>
        <w:rPr>
          <w:rFonts w:hint="eastAsia" w:hAnsi="仿宋_GB2312"/>
          <w:snapToGrid w:val="0"/>
          <w:color w:val="000000"/>
          <w:spacing w:val="-6"/>
          <w:kern w:val="0"/>
        </w:rPr>
        <w:t>开展“法律明白人”</w:t>
      </w:r>
      <w:r>
        <w:rPr>
          <w:rFonts w:hint="eastAsia"/>
          <w:snapToGrid w:val="0"/>
          <w:color w:val="000000"/>
          <w:spacing w:val="-6"/>
          <w:kern w:val="0"/>
        </w:rPr>
        <w:t>、</w:t>
      </w:r>
      <w:r>
        <w:rPr>
          <w:rFonts w:hint="eastAsia" w:hAnsi="仿宋_GB2312"/>
          <w:snapToGrid w:val="0"/>
          <w:color w:val="000000"/>
          <w:spacing w:val="-6"/>
          <w:kern w:val="0"/>
        </w:rPr>
        <w:t>“学法用法示范户”评选活动，</w:t>
      </w:r>
      <w:r>
        <w:rPr>
          <w:rFonts w:hint="eastAsia" w:hAnsi="仿宋_GB2312"/>
          <w:snapToGrid w:val="0"/>
          <w:color w:val="000000"/>
          <w:spacing w:val="-6"/>
        </w:rPr>
        <w:t>深化“民主法治村（社区）”创建，</w:t>
      </w:r>
      <w:r>
        <w:rPr>
          <w:rFonts w:hint="eastAsia" w:hAnsi="仿宋_GB2312"/>
          <w:snapToGrid w:val="0"/>
          <w:color w:val="000000"/>
          <w:spacing w:val="-6"/>
          <w:kern w:val="0"/>
        </w:rPr>
        <w:t>引导群众自觉守法、遇事找法、解决问题靠法</w:t>
      </w:r>
      <w:r>
        <w:rPr>
          <w:rFonts w:hint="eastAsia"/>
          <w:snapToGrid w:val="0"/>
          <w:color w:val="000000"/>
          <w:spacing w:val="-6"/>
          <w:kern w:val="0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08" w:firstLineChars="200"/>
        <w:textAlignment w:val="auto"/>
        <w:rPr>
          <w:rFonts w:hAnsi="仿宋_GB2312"/>
          <w:snapToGrid w:val="0"/>
          <w:color w:val="000000"/>
          <w:spacing w:val="-6"/>
          <w:kern w:val="0"/>
        </w:rPr>
      </w:pPr>
      <w:r>
        <w:rPr>
          <w:rFonts w:hint="eastAsia" w:hAnsi="仿宋_GB2312"/>
          <w:spacing w:val="-6"/>
        </w:rPr>
        <w:t>3. 以德治涵养教化。</w:t>
      </w:r>
      <w:r>
        <w:rPr>
          <w:rFonts w:hint="eastAsia" w:hAnsi="仿宋_GB2312"/>
          <w:snapToGrid w:val="0"/>
          <w:color w:val="000000"/>
          <w:spacing w:val="-6"/>
        </w:rPr>
        <w:t>深入实施公民道德建设工程，健全道德评议机制，发挥道德评判团、“老娘舅”“合议堂”等群众性评议组织作用，开展“故事会”、基层巡讲、展陈展览等道德典型学习宣传活动，使道德可评可学可感知。</w:t>
      </w:r>
      <w:r>
        <w:rPr>
          <w:rFonts w:hint="eastAsia" w:hAnsi="仿宋_GB2312"/>
          <w:snapToGrid w:val="0"/>
          <w:color w:val="000000"/>
          <w:spacing w:val="-6"/>
          <w:kern w:val="0"/>
        </w:rPr>
        <w:t>创新推广“道德银行”等公共产品，推动基层治理从“化解矛盾”向“善治赋能”。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firstLine="608" w:firstLineChars="200"/>
        <w:textAlignment w:val="auto"/>
        <w:rPr>
          <w:rFonts w:hAnsi="仿宋_GB2312"/>
          <w:snapToGrid w:val="0"/>
          <w:color w:val="000000"/>
          <w:spacing w:val="-6"/>
          <w:kern w:val="0"/>
        </w:rPr>
      </w:pPr>
      <w:r>
        <w:rPr>
          <w:rFonts w:hint="eastAsia" w:hAnsi="仿宋_GB2312"/>
          <w:spacing w:val="-6"/>
        </w:rPr>
        <w:t>4. 以智治精准引导。</w:t>
      </w:r>
      <w:r>
        <w:rPr>
          <w:rFonts w:hint="eastAsia" w:hAnsi="仿宋_GB2312"/>
          <w:snapToGrid w:val="0"/>
          <w:color w:val="000000"/>
          <w:spacing w:val="-6"/>
          <w:kern w:val="0"/>
        </w:rPr>
        <w:t>深化“嘉兴众治”积分制管理，引导各类社会主体和群众主动学习法律法规和政策要求，多做对自己有益、对他人有感、对社会有利的事。积极参与“嘉园共富”建设，推广“四治信用贷”，完善“四治融合”信用体系建设</w:t>
      </w:r>
      <w:r>
        <w:rPr>
          <w:rFonts w:hint="eastAsia"/>
          <w:snapToGrid w:val="0"/>
          <w:color w:val="000000"/>
          <w:spacing w:val="-6"/>
          <w:kern w:val="0"/>
        </w:rPr>
        <w:t>，</w:t>
      </w:r>
      <w:r>
        <w:rPr>
          <w:rFonts w:hint="eastAsia" w:hAnsi="仿宋_GB2312"/>
          <w:snapToGrid w:val="0"/>
          <w:color w:val="000000"/>
          <w:spacing w:val="-6"/>
          <w:kern w:val="0"/>
        </w:rPr>
        <w:t>深化系列平安建设，撬动企业履行社会责任，推动市场主体</w:t>
      </w:r>
      <w:r>
        <w:rPr>
          <w:rFonts w:hint="eastAsia"/>
          <w:snapToGrid w:val="0"/>
          <w:color w:val="000000"/>
          <w:spacing w:val="-6"/>
          <w:kern w:val="0"/>
        </w:rPr>
        <w:t>和广大群众</w:t>
      </w:r>
      <w:r>
        <w:rPr>
          <w:rFonts w:hint="eastAsia" w:hAnsi="仿宋_GB2312"/>
          <w:snapToGrid w:val="0"/>
          <w:color w:val="000000"/>
          <w:spacing w:val="-6"/>
          <w:kern w:val="0"/>
        </w:rPr>
        <w:t>自觉担当平安建设主体责任。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ascii="黑体" w:hAnsi="黑体" w:eastAsia="黑体" w:cs="黑体"/>
          <w:spacing w:val="-6"/>
        </w:rPr>
      </w:pPr>
      <w:r>
        <w:rPr>
          <w:rFonts w:hint="eastAsia" w:ascii="黑体" w:hAnsi="黑体" w:eastAsia="黑体" w:cs="黑体"/>
          <w:spacing w:val="-6"/>
        </w:rPr>
        <w:t>三、保障措施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spacing w:val="-6"/>
        </w:rPr>
      </w:pPr>
      <w:r>
        <w:rPr>
          <w:rFonts w:hint="eastAsia" w:hAnsi="仿宋_GB2312"/>
          <w:spacing w:val="-6"/>
        </w:rPr>
        <w:t>1. 强化组织领导。区级各部门、各镇、街道要高度重视城乡融合新社区建设工作，切实加强组织领导，建立</w:t>
      </w:r>
      <w:r>
        <w:rPr>
          <w:rFonts w:hint="eastAsia" w:hAnsi="仿宋_GB2312"/>
          <w:spacing w:val="-6"/>
          <w:kern w:val="0"/>
        </w:rPr>
        <w:t>党委领导、政府主导、部门协同、居民主体、社会参与的领导机制和工作机制，强化统筹，细化举措。</w:t>
      </w:r>
      <w:r>
        <w:rPr>
          <w:rFonts w:hint="eastAsia" w:hAnsi="仿宋_GB2312"/>
          <w:spacing w:val="-6"/>
        </w:rPr>
        <w:t>各镇、街道要落实主体责任，</w:t>
      </w:r>
      <w:r>
        <w:rPr>
          <w:rFonts w:hint="eastAsia" w:hAnsi="仿宋_GB2312"/>
          <w:snapToGrid w:val="0"/>
          <w:spacing w:val="-6"/>
        </w:rPr>
        <w:t>针对各社区特点，研究制定细化方案；区级有关部门要抓好分类指导。</w:t>
      </w:r>
      <w:r>
        <w:rPr>
          <w:rFonts w:hint="eastAsia" w:hAnsi="仿宋_GB2312"/>
          <w:spacing w:val="-6"/>
          <w:kern w:val="0"/>
        </w:rPr>
        <w:t>要完善</w:t>
      </w:r>
      <w:r>
        <w:rPr>
          <w:rFonts w:hint="eastAsia" w:hAnsi="仿宋_GB2312"/>
          <w:snapToGrid w:val="0"/>
          <w:spacing w:val="-6"/>
        </w:rPr>
        <w:t>工作推进机制，实施建设任务清单化管理、项目化推进。要充分调动和激发</w:t>
      </w:r>
      <w:r>
        <w:rPr>
          <w:rFonts w:hint="eastAsia" w:hAnsi="仿宋_GB2312"/>
          <w:snapToGrid w:val="0"/>
        </w:rPr>
        <w:t>社区（村）</w:t>
      </w:r>
      <w:r>
        <w:rPr>
          <w:rFonts w:hint="eastAsia" w:hAnsi="仿宋_GB2312"/>
          <w:snapToGrid w:val="0"/>
          <w:spacing w:val="-6"/>
        </w:rPr>
        <w:t>居民的</w:t>
      </w:r>
      <w:r>
        <w:rPr>
          <w:rFonts w:hint="eastAsia" w:hAnsi="仿宋_GB2312"/>
          <w:spacing w:val="-6"/>
          <w:kern w:val="0"/>
        </w:rPr>
        <w:t>积极性、主动性，凝聚</w:t>
      </w:r>
      <w:r>
        <w:rPr>
          <w:rFonts w:hint="eastAsia" w:hAnsi="仿宋_GB2312"/>
          <w:spacing w:val="-6"/>
        </w:rPr>
        <w:t>城乡融合新社区</w:t>
      </w:r>
      <w:r>
        <w:rPr>
          <w:rFonts w:hint="eastAsia" w:hAnsi="仿宋_GB2312"/>
          <w:spacing w:val="-6"/>
          <w:kern w:val="0"/>
        </w:rPr>
        <w:t>共建共治共享的合力</w:t>
      </w:r>
      <w:r>
        <w:rPr>
          <w:rFonts w:hint="eastAsia" w:hAnsi="仿宋_GB2312"/>
          <w:spacing w:val="-6"/>
        </w:rPr>
        <w:t>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60" w:lineRule="exact"/>
        <w:ind w:firstLine="608" w:firstLineChars="200"/>
        <w:textAlignment w:val="auto"/>
        <w:rPr>
          <w:rFonts w:hAnsi="仿宋_GB2312"/>
          <w:b/>
          <w:bCs/>
          <w:spacing w:val="-6"/>
        </w:rPr>
      </w:pPr>
      <w:r>
        <w:rPr>
          <w:rFonts w:hint="eastAsia" w:hAnsi="仿宋_GB2312"/>
          <w:spacing w:val="-6"/>
        </w:rPr>
        <w:t>2. 强化制度创新。持续推进城乡融合体制机制改革创新，继续深化农村三权改革，全面实施搬迁进城农民居住地登记备案，优化社区公共服务</w:t>
      </w:r>
      <w:r>
        <w:rPr>
          <w:rFonts w:hint="eastAsia" w:hAnsi="仿宋_GB2312"/>
        </w:rPr>
        <w:t>供给，逐步享受市民化待遇，</w:t>
      </w:r>
      <w:r>
        <w:rPr>
          <w:rFonts w:hint="eastAsia" w:hAnsi="仿宋_GB2312"/>
          <w:spacing w:val="-6"/>
        </w:rPr>
        <w:t>加快推进农业转移人口市民化，推广基层社会治理“立方众治”模式，完善社区数字化治理体系，全方位系统性构筑城乡融合新社区共建共治共享的政策环境体系。</w:t>
      </w:r>
    </w:p>
    <w:p>
      <w:pPr>
        <w:pStyle w:val="3"/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topLinePunct w:val="0"/>
        <w:autoSpaceDE/>
        <w:autoSpaceDN/>
        <w:bidi w:val="0"/>
        <w:snapToGrid/>
        <w:spacing w:after="0" w:line="560" w:lineRule="exact"/>
        <w:ind w:firstLine="608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3. 强化要素保障。把城乡融合新社区建设作为重要民生实事，切实强化要素支持保障。要加强资源统筹、政策集成，集中优势资源，加大城乡融合新社区人、财、物投入力度。全域土地整治新增流量指标，优先保障城乡融合新社区建设所需，切实解决“人等房”问题；强化教育、卫生、全民健身等公共服务设施配套；大力培育发展社区集体经济，探索社区建设和运营管理新机制；落实相关工作向村（社区）“以奖代补”措施，集成多种资源，形成共建支撑。各镇、街道要切实加大投入、落实保障措施，把城乡融合新社区建成让人民满意的幸福生活美好家园、共同富裕现代化基本单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/>
        <w:spacing w:line="400" w:lineRule="exact"/>
        <w:textAlignment w:val="auto"/>
        <w:rPr>
          <w:sz w:val="28"/>
          <w:szCs w:val="28"/>
        </w:rPr>
      </w:pPr>
    </w:p>
    <w:tbl>
      <w:tblPr>
        <w:tblStyle w:val="20"/>
        <w:tblpPr w:leftFromText="180" w:rightFromText="180" w:vertAnchor="text" w:horzAnchor="page" w:tblpX="1370" w:tblpY="10771"/>
        <w:tblOverlap w:val="never"/>
        <w:tblW w:w="9136" w:type="dxa"/>
        <w:tblInd w:w="0" w:type="dxa"/>
        <w:tblLayout w:type="fixed"/>
        <w:tblCellMar>
          <w:top w:w="0" w:type="dxa"/>
          <w:left w:w="102" w:type="dxa"/>
          <w:bottom w:w="0" w:type="dxa"/>
          <w:right w:w="102" w:type="dxa"/>
        </w:tblCellMar>
      </w:tblPr>
      <w:tblGrid>
        <w:gridCol w:w="240"/>
        <w:gridCol w:w="6143"/>
        <w:gridCol w:w="2753"/>
      </w:tblGrid>
      <w:tr>
        <w:tblPrEx>
          <w:tblCellMar>
            <w:top w:w="0" w:type="dxa"/>
            <w:left w:w="102" w:type="dxa"/>
            <w:bottom w:w="0" w:type="dxa"/>
            <w:right w:w="102" w:type="dxa"/>
          </w:tblCellMar>
        </w:tblPrEx>
        <w:trPr>
          <w:trHeight w:val="966" w:hRule="atLeast"/>
        </w:trPr>
        <w:tc>
          <w:tcPr>
            <w:tcW w:w="240" w:type="dxa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napToGrid/>
              <w:spacing w:line="400" w:lineRule="exact"/>
              <w:jc w:val="left"/>
              <w:textAlignment w:val="auto"/>
              <w:rPr>
                <w:rFonts w:ascii="黑体" w:eastAsia="黑体"/>
                <w:sz w:val="28"/>
                <w:szCs w:val="28"/>
                <w:lang w:val="ru-RU"/>
              </w:rPr>
            </w:pPr>
          </w:p>
        </w:tc>
        <w:tc>
          <w:tcPr>
            <w:tcW w:w="6143" w:type="dxa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napToGrid/>
              <w:spacing w:line="400" w:lineRule="exact"/>
              <w:jc w:val="distribute"/>
              <w:textAlignment w:val="auto"/>
              <w:rPr>
                <w:rFonts w:hint="eastAsia" w:eastAsia="仿宋_GB2312"/>
                <w:spacing w:val="-20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20"/>
                <w:w w:val="90"/>
                <w:sz w:val="28"/>
                <w:szCs w:val="28"/>
              </w:rPr>
              <w:t>秀洲区打造均衡富庶发展、共同富裕典范领导小组</w:t>
            </w:r>
            <w:r>
              <w:rPr>
                <w:rFonts w:hint="eastAsia"/>
                <w:spacing w:val="-20"/>
                <w:w w:val="90"/>
                <w:sz w:val="28"/>
                <w:szCs w:val="28"/>
                <w:lang w:eastAsia="zh-CN"/>
              </w:rPr>
              <w:t>办公室</w:t>
            </w:r>
          </w:p>
          <w:p>
            <w:pPr>
              <w:pStyle w:val="25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napToGrid/>
              <w:spacing w:line="400" w:lineRule="exact"/>
              <w:jc w:val="distribute"/>
              <w:textAlignment w:val="auto"/>
              <w:rPr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spacing w:val="-6"/>
                <w:w w:val="90"/>
                <w:kern w:val="2"/>
                <w:sz w:val="28"/>
                <w:szCs w:val="28"/>
                <w:lang w:val="en-US" w:eastAsia="zh-CN" w:bidi="ar-SA"/>
              </w:rPr>
              <w:t>秀洲区创建国家城乡融合发展试验区工作领导小组</w:t>
            </w:r>
            <w:r>
              <w:rPr>
                <w:rFonts w:hint="eastAsia" w:ascii="仿宋_GB2312" w:eastAsia="仿宋_GB2312" w:cs="仿宋_GB2312"/>
                <w:color w:val="auto"/>
                <w:spacing w:val="-6"/>
                <w:w w:val="90"/>
                <w:kern w:val="2"/>
                <w:sz w:val="28"/>
                <w:szCs w:val="28"/>
                <w:lang w:val="en-US" w:eastAsia="zh-CN" w:bidi="ar-SA"/>
              </w:rPr>
              <w:t>办公室</w:t>
            </w:r>
          </w:p>
        </w:tc>
        <w:tc>
          <w:tcPr>
            <w:tcW w:w="2753" w:type="dxa"/>
            <w:tcBorders>
              <w:top w:val="single" w:color="auto" w:sz="6" w:space="0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</w:rPr>
              <w:t>3年3月31日印发</w:t>
            </w:r>
          </w:p>
        </w:tc>
      </w:tr>
    </w:tbl>
    <w:p>
      <w:pPr>
        <w:pStyle w:val="7"/>
        <w:overflowPunct w:val="0"/>
        <w:ind w:firstLine="0"/>
        <w:rPr>
          <w:sz w:val="10"/>
          <w:szCs w:val="10"/>
        </w:rPr>
      </w:pPr>
    </w:p>
    <w:sectPr>
      <w:footerReference r:id="rId4" w:type="default"/>
      <w:pgSz w:w="11905" w:h="16838"/>
      <w:pgMar w:top="2041" w:right="1531" w:bottom="2041" w:left="1531" w:header="1134" w:footer="1587" w:gutter="0"/>
      <w:pgNumType w:fmt="numberInDash"/>
      <w:cols w:space="0" w:num="1"/>
      <w:rtlGutter w:val="1"/>
      <w:docGrid w:type="linesAndChars" w:linePitch="58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rFonts w:cs="Times New Roma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4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14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- 2 -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7501DA"/>
    <w:multiLevelType w:val="singleLevel"/>
    <w:tmpl w:val="4B7501DA"/>
    <w:lvl w:ilvl="0" w:tentative="0">
      <w:start w:val="1"/>
      <w:numFmt w:val="bullet"/>
      <w:pStyle w:val="10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I1NDNkYmFkYjYyMmQzMTY0Y2IxY2RhZDMzMjY5MWUifQ=="/>
  </w:docVars>
  <w:rsids>
    <w:rsidRoot w:val="181F4C1B"/>
    <w:rsid w:val="000135FC"/>
    <w:rsid w:val="000315C2"/>
    <w:rsid w:val="00051704"/>
    <w:rsid w:val="000721D5"/>
    <w:rsid w:val="000905B3"/>
    <w:rsid w:val="00104DA7"/>
    <w:rsid w:val="001B755A"/>
    <w:rsid w:val="002628E0"/>
    <w:rsid w:val="002C0D00"/>
    <w:rsid w:val="002C5792"/>
    <w:rsid w:val="002E6177"/>
    <w:rsid w:val="003C1104"/>
    <w:rsid w:val="00476A31"/>
    <w:rsid w:val="004866A6"/>
    <w:rsid w:val="004F0E86"/>
    <w:rsid w:val="00572E36"/>
    <w:rsid w:val="0059176B"/>
    <w:rsid w:val="005C1A93"/>
    <w:rsid w:val="005E5846"/>
    <w:rsid w:val="00654618"/>
    <w:rsid w:val="006738B6"/>
    <w:rsid w:val="00682CD3"/>
    <w:rsid w:val="006A4DF3"/>
    <w:rsid w:val="006D4E53"/>
    <w:rsid w:val="006F3D80"/>
    <w:rsid w:val="00710A16"/>
    <w:rsid w:val="00790D47"/>
    <w:rsid w:val="00815D6B"/>
    <w:rsid w:val="00846186"/>
    <w:rsid w:val="008B558E"/>
    <w:rsid w:val="008C6BD2"/>
    <w:rsid w:val="00935D2A"/>
    <w:rsid w:val="00986CF9"/>
    <w:rsid w:val="009D079E"/>
    <w:rsid w:val="009E415B"/>
    <w:rsid w:val="00A7739D"/>
    <w:rsid w:val="00AA7581"/>
    <w:rsid w:val="00B053EE"/>
    <w:rsid w:val="00BB01BE"/>
    <w:rsid w:val="00BD79EB"/>
    <w:rsid w:val="00C26EA2"/>
    <w:rsid w:val="00C90384"/>
    <w:rsid w:val="00CB39C0"/>
    <w:rsid w:val="00D10D9F"/>
    <w:rsid w:val="00D27745"/>
    <w:rsid w:val="00DF6A96"/>
    <w:rsid w:val="00E54446"/>
    <w:rsid w:val="00E87A37"/>
    <w:rsid w:val="00EC3E67"/>
    <w:rsid w:val="00EC60B0"/>
    <w:rsid w:val="00EF5D73"/>
    <w:rsid w:val="00F03BAD"/>
    <w:rsid w:val="00FA3A6D"/>
    <w:rsid w:val="05017C52"/>
    <w:rsid w:val="0A8B5265"/>
    <w:rsid w:val="0D597D7B"/>
    <w:rsid w:val="0E726137"/>
    <w:rsid w:val="11BB554E"/>
    <w:rsid w:val="175F23BE"/>
    <w:rsid w:val="181F4C1B"/>
    <w:rsid w:val="1DBD0027"/>
    <w:rsid w:val="23943980"/>
    <w:rsid w:val="241115C9"/>
    <w:rsid w:val="264D68CD"/>
    <w:rsid w:val="2A64640A"/>
    <w:rsid w:val="2A783AB2"/>
    <w:rsid w:val="2B73315C"/>
    <w:rsid w:val="2E3507E9"/>
    <w:rsid w:val="302B69D3"/>
    <w:rsid w:val="307939DB"/>
    <w:rsid w:val="318F6FED"/>
    <w:rsid w:val="35B20971"/>
    <w:rsid w:val="36BA6310"/>
    <w:rsid w:val="3A95616C"/>
    <w:rsid w:val="3AB1164C"/>
    <w:rsid w:val="3ED6640A"/>
    <w:rsid w:val="3EE33FD3"/>
    <w:rsid w:val="3FDDBA64"/>
    <w:rsid w:val="40240969"/>
    <w:rsid w:val="41EA3241"/>
    <w:rsid w:val="4777E05A"/>
    <w:rsid w:val="477B17E4"/>
    <w:rsid w:val="48036E0A"/>
    <w:rsid w:val="483B2A48"/>
    <w:rsid w:val="4BB25461"/>
    <w:rsid w:val="4E6D6B00"/>
    <w:rsid w:val="4F537870"/>
    <w:rsid w:val="52763379"/>
    <w:rsid w:val="537E0956"/>
    <w:rsid w:val="550B1F65"/>
    <w:rsid w:val="573A13EE"/>
    <w:rsid w:val="5F7D0080"/>
    <w:rsid w:val="5FED954C"/>
    <w:rsid w:val="63D276AF"/>
    <w:rsid w:val="6AE34B4E"/>
    <w:rsid w:val="6D1A3CAC"/>
    <w:rsid w:val="6E7D8A5B"/>
    <w:rsid w:val="6E9D3265"/>
    <w:rsid w:val="71BD17E4"/>
    <w:rsid w:val="71E74F23"/>
    <w:rsid w:val="73076EFF"/>
    <w:rsid w:val="763EAC25"/>
    <w:rsid w:val="76A553B5"/>
    <w:rsid w:val="77FA8A1D"/>
    <w:rsid w:val="785F5ED6"/>
    <w:rsid w:val="7E244E09"/>
    <w:rsid w:val="7F1E6DAF"/>
    <w:rsid w:val="8EE2D2D0"/>
    <w:rsid w:val="91E7C31C"/>
    <w:rsid w:val="9DE95261"/>
    <w:rsid w:val="BFEF3AD9"/>
    <w:rsid w:val="BFF32240"/>
    <w:rsid w:val="BFF5DB8B"/>
    <w:rsid w:val="CFFF965C"/>
    <w:rsid w:val="D5EF5D02"/>
    <w:rsid w:val="DFFF3542"/>
    <w:rsid w:val="E1E91279"/>
    <w:rsid w:val="E55F3BE7"/>
    <w:rsid w:val="EEFEB9B8"/>
    <w:rsid w:val="F8EFB5A5"/>
    <w:rsid w:val="FBFF5B7F"/>
    <w:rsid w:val="FED7126D"/>
    <w:rsid w:val="FF757F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ind w:left="3008" w:right="3752"/>
      <w:jc w:val="center"/>
      <w:outlineLvl w:val="0"/>
    </w:pPr>
    <w:rPr>
      <w:rFonts w:ascii="Arial Unicode MS" w:hAnsi="Arial Unicode MS" w:eastAsia="Arial Unicode MS" w:cs="Arial Unicode MS"/>
      <w:sz w:val="44"/>
      <w:szCs w:val="44"/>
    </w:rPr>
  </w:style>
  <w:style w:type="paragraph" w:styleId="5">
    <w:name w:val="heading 2"/>
    <w:basedOn w:val="1"/>
    <w:next w:val="1"/>
    <w:qFormat/>
    <w:uiPriority w:val="99"/>
    <w:pPr>
      <w:ind w:left="740"/>
      <w:outlineLvl w:val="1"/>
    </w:pPr>
    <w:rPr>
      <w:rFonts w:ascii="Microsoft JhengHei" w:hAnsi="Microsoft JhengHei" w:eastAsia="Microsoft JhengHei" w:cs="Microsoft JhengHei"/>
      <w:b/>
      <w:bCs/>
    </w:rPr>
  </w:style>
  <w:style w:type="paragraph" w:styleId="6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</w:style>
  <w:style w:type="paragraph" w:styleId="3">
    <w:name w:val="Body Text First Indent"/>
    <w:basedOn w:val="2"/>
    <w:next w:val="1"/>
    <w:qFormat/>
    <w:uiPriority w:val="99"/>
    <w:pPr>
      <w:spacing w:after="120"/>
      <w:ind w:firstLine="420" w:firstLineChars="100"/>
    </w:pPr>
    <w:rPr>
      <w:rFonts w:ascii="Times New Roman" w:eastAsia="宋体" w:cs="Times New Roman"/>
      <w:sz w:val="21"/>
      <w:szCs w:val="21"/>
    </w:rPr>
  </w:style>
  <w:style w:type="paragraph" w:styleId="7">
    <w:name w:val="Normal Indent"/>
    <w:basedOn w:val="1"/>
    <w:qFormat/>
    <w:uiPriority w:val="99"/>
    <w:pPr>
      <w:ind w:firstLine="420"/>
    </w:pPr>
  </w:style>
  <w:style w:type="paragraph" w:styleId="8">
    <w:name w:val="index 5"/>
    <w:next w:val="1"/>
    <w:semiHidden/>
    <w:qFormat/>
    <w:uiPriority w:val="99"/>
    <w:pPr>
      <w:widowControl w:val="0"/>
      <w:spacing w:line="20" w:lineRule="exact"/>
      <w:jc w:val="both"/>
    </w:pPr>
    <w:rPr>
      <w:rFonts w:ascii="黑体" w:hAnsi="仿宋_GB2312" w:eastAsia="黑体" w:cs="黑体"/>
      <w:kern w:val="2"/>
      <w:sz w:val="32"/>
      <w:szCs w:val="32"/>
      <w:lang w:val="en-US" w:eastAsia="zh-CN" w:bidi="ar-SA"/>
    </w:rPr>
  </w:style>
  <w:style w:type="paragraph" w:styleId="9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10">
    <w:name w:val="List Bullet 2"/>
    <w:basedOn w:val="1"/>
    <w:next w:val="2"/>
    <w:qFormat/>
    <w:uiPriority w:val="0"/>
    <w:pPr>
      <w:numPr>
        <w:ilvl w:val="0"/>
        <w:numId w:val="1"/>
      </w:numPr>
    </w:pPr>
  </w:style>
  <w:style w:type="paragraph" w:styleId="11">
    <w:name w:val="toc 5"/>
    <w:basedOn w:val="1"/>
    <w:next w:val="1"/>
    <w:qFormat/>
    <w:uiPriority w:val="0"/>
    <w:pPr>
      <w:ind w:left="1680" w:leftChars="800"/>
    </w:pPr>
    <w:rPr>
      <w:rFonts w:ascii="Times New Roman" w:eastAsia="宋体" w:cs="Times New Roman"/>
    </w:rPr>
  </w:style>
  <w:style w:type="paragraph" w:styleId="12">
    <w:name w:val="Body Text Indent 2"/>
    <w:basedOn w:val="1"/>
    <w:next w:val="13"/>
    <w:unhideWhenUsed/>
    <w:qFormat/>
    <w:uiPriority w:val="99"/>
    <w:pPr>
      <w:spacing w:after="120" w:line="480" w:lineRule="auto"/>
      <w:ind w:left="420" w:leftChars="200"/>
    </w:pPr>
  </w:style>
  <w:style w:type="paragraph" w:styleId="13">
    <w:name w:val="Body Text First Indent 2"/>
    <w:basedOn w:val="1"/>
    <w:next w:val="9"/>
    <w:qFormat/>
    <w:uiPriority w:val="0"/>
    <w:pPr>
      <w:ind w:firstLine="420" w:firstLineChars="200"/>
    </w:pPr>
    <w:rPr>
      <w:rFonts w:eastAsia="仿宋"/>
      <w:sz w:val="28"/>
    </w:rPr>
  </w:style>
  <w:style w:type="paragraph" w:styleId="14">
    <w:name w:val="footer"/>
    <w:basedOn w:val="1"/>
    <w:next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6">
    <w:name w:val="table of figures"/>
    <w:basedOn w:val="1"/>
    <w:next w:val="1"/>
    <w:semiHidden/>
    <w:qFormat/>
    <w:uiPriority w:val="99"/>
    <w:pPr>
      <w:ind w:left="200" w:leftChars="200" w:hanging="200" w:hangingChars="200"/>
    </w:pPr>
    <w:rPr>
      <w:rFonts w:ascii="Calibri" w:hAnsi="Calibri" w:eastAsia="宋体" w:cs="Calibri"/>
    </w:rPr>
  </w:style>
  <w:style w:type="paragraph" w:styleId="17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paragraph" w:styleId="1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page number"/>
    <w:basedOn w:val="22"/>
    <w:qFormat/>
    <w:uiPriority w:val="0"/>
    <w:rPr>
      <w:rFonts w:cs="Times New Roman"/>
    </w:rPr>
  </w:style>
  <w:style w:type="paragraph" w:customStyle="1" w:styleId="24">
    <w:name w:val="Table Paragraph"/>
    <w:basedOn w:val="1"/>
    <w:qFormat/>
    <w:uiPriority w:val="99"/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6">
    <w:name w:val="Normal Indent1"/>
    <w:next w:val="8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Char"/>
    <w:semiHidden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8">
    <w:name w:val="三级标题"/>
    <w:basedOn w:val="6"/>
    <w:next w:val="1"/>
    <w:qFormat/>
    <w:uiPriority w:val="0"/>
    <w:pPr>
      <w:spacing w:before="0" w:beforeAutospacing="0" w:after="0" w:afterAutospacing="0" w:line="560" w:lineRule="exact"/>
      <w:ind w:firstLine="200" w:firstLineChars="200"/>
      <w:jc w:val="both"/>
      <w:outlineLvl w:val="9"/>
    </w:pPr>
    <w:rPr>
      <w:rFonts w:hint="default" w:ascii="楷体_GB2312" w:hAnsi="Times New Roman" w:eastAsia="楷体_GB2312"/>
      <w:b w:val="0"/>
      <w:color w:val="000000"/>
      <w:sz w:val="32"/>
      <w:szCs w:val="28"/>
      <w:lang w:val="zh-CN"/>
    </w:rPr>
  </w:style>
  <w:style w:type="character" w:customStyle="1" w:styleId="29">
    <w:name w:val="font81"/>
    <w:qFormat/>
    <w:uiPriority w:val="0"/>
    <w:rPr>
      <w:rFonts w:hint="eastAsia" w:ascii="仿宋_GB2312" w:hAnsi="Times New Roman" w:eastAsia="仿宋_GB2312" w:cs="仿宋_GB2312"/>
      <w:color w:val="000000"/>
      <w:sz w:val="28"/>
      <w:szCs w:val="28"/>
      <w:u w:val="none"/>
    </w:rPr>
  </w:style>
  <w:style w:type="character" w:customStyle="1" w:styleId="30">
    <w:name w:val="font21"/>
    <w:basedOn w:val="22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31">
    <w:name w:val="font51"/>
    <w:basedOn w:val="22"/>
    <w:qFormat/>
    <w:uiPriority w:val="0"/>
    <w:rPr>
      <w:rFonts w:ascii="方正书宋_GBK" w:hAnsi="方正书宋_GBK" w:eastAsia="方正书宋_GBK" w:cs="方正书宋_GBK"/>
      <w:color w:val="000000"/>
      <w:sz w:val="22"/>
      <w:szCs w:val="22"/>
      <w:u w:val="none"/>
    </w:rPr>
  </w:style>
  <w:style w:type="paragraph" w:styleId="3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3">
    <w:name w:val="页脚 Char"/>
    <w:basedOn w:val="22"/>
    <w:link w:val="14"/>
    <w:qFormat/>
    <w:uiPriority w:val="99"/>
    <w:rPr>
      <w:rFonts w:ascii="仿宋_GB2312" w:eastAsia="仿宋_GB2312" w:cs="仿宋_GB2312"/>
      <w:kern w:val="2"/>
      <w:sz w:val="18"/>
      <w:szCs w:val="18"/>
    </w:rPr>
  </w:style>
  <w:style w:type="paragraph" w:customStyle="1" w:styleId="34">
    <w:name w:val="默认段落字体 Para Char Char Char1 Char"/>
    <w:basedOn w:val="1"/>
    <w:next w:val="1"/>
    <w:qFormat/>
    <w:uiPriority w:val="0"/>
    <w:pPr>
      <w:spacing w:line="240" w:lineRule="atLeast"/>
      <w:ind w:left="420" w:firstLine="420"/>
      <w:jc w:val="left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7133</Words>
  <Characters>7244</Characters>
  <Lines>51</Lines>
  <Paragraphs>14</Paragraphs>
  <TotalTime>0</TotalTime>
  <ScaleCrop>false</ScaleCrop>
  <LinksUpToDate>false</LinksUpToDate>
  <CharactersWithSpaces>7297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2022-06-15T05:53:00Z</dcterms:created>
  <dc:creator>上弦月</dc:creator>
  <cp:lastModifiedBy>红色丶彼岸花</cp:lastModifiedBy>
  <cp:lastPrinted>2023-04-06T07:29:00Z</cp:lastPrinted>
  <dcterms:modified xsi:type="dcterms:W3CDTF">2023-07-12T07:37:11Z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8D5496E910A3411CA6CD85814520E1F5</vt:lpwstr>
  </property>
</Properties>
</file>