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sz w:val="44"/>
          <w:szCs w:val="44"/>
        </w:rPr>
      </w:pPr>
      <w:r>
        <w:rPr>
          <w:rFonts w:hint="eastAsia" w:ascii="黑体" w:hAnsi="黑体" w:eastAsia="黑体" w:cs="黑体"/>
          <w:sz w:val="44"/>
          <w:szCs w:val="44"/>
        </w:rPr>
        <w:t>区科技局2021年度政府信息公开工作年度报告</w:t>
      </w:r>
    </w:p>
    <w:p>
      <w:pPr>
        <w:widowControl/>
        <w:numPr>
          <w:ilvl w:val="0"/>
          <w:numId w:val="2"/>
        </w:numPr>
        <w:spacing w:line="600" w:lineRule="exact"/>
        <w:ind w:firstLine="640" w:firstLineChars="200"/>
        <w:rPr>
          <w:rFonts w:hint="eastAsia" w:ascii="方正隶书_GBK" w:hAnsi="方正隶书_GBK" w:eastAsia="方正隶书_GBK" w:cs="方正隶书_GBK"/>
          <w:sz w:val="32"/>
          <w:szCs w:val="32"/>
        </w:rPr>
      </w:pPr>
      <w:r>
        <w:rPr>
          <w:rFonts w:hint="eastAsia" w:ascii="黑体" w:hAnsi="黑体" w:eastAsia="黑体" w:cs="黑体"/>
          <w:kern w:val="0"/>
          <w:sz w:val="32"/>
          <w:szCs w:val="32"/>
        </w:rPr>
        <w:t>总体情况</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（一）主动公开情况。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围绕2021年政务公开要点（国办发〔2021〕12号、浙政办发〔2021〕28号、嘉政办发〔2021〕32号文件），对社会公开的政府信息主要通过秀洲政府门户网站发布，及时对局工作动态、通知公告等栏目进行更新。网站公开包括主动公开和依申请公开两种方式。2021年我局主动公开政府信息共65条，其中工作动态39条、通知公告26条等。</w:t>
      </w:r>
    </w:p>
    <w:p>
      <w:pPr>
        <w:spacing w:line="60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（二）依申请公开情况。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区科技局2021年度未收到依申请公开政府信息件，未发生针对本单位的有关政府信息公开的行政复议、行政诉讼。</w:t>
      </w:r>
    </w:p>
    <w:p>
      <w:pPr>
        <w:spacing w:line="60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（三）政府信息管理情况。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严格按照政府信息公开保密审查工作等相关制度要求做好政府信息管理等工作，重点做好政策文件、工作动态及通知公告等的公开工作，制定政务公开相关管理办法，指派专人负责政府信息公开工作。</w:t>
      </w:r>
    </w:p>
    <w:p>
      <w:pPr>
        <w:spacing w:line="60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（四）平台建设情况。</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我局从机构职能、通知公告、业务资讯、政策法规等多个方面加大公</w:t>
      </w:r>
      <w:r>
        <w:rPr>
          <w:rFonts w:hint="eastAsia" w:ascii="仿宋_GB2312" w:hAnsi="仿宋_GB2312" w:eastAsia="仿宋_GB2312" w:cs="仿宋_GB2312"/>
          <w:sz w:val="32"/>
          <w:szCs w:val="32"/>
          <w:highlight w:val="none"/>
        </w:rPr>
        <w:t>开的力度，</w:t>
      </w:r>
      <w:r>
        <w:rPr>
          <w:rFonts w:hint="eastAsia" w:ascii="仿宋_GB2312" w:hAnsi="仿宋_GB2312" w:eastAsia="仿宋_GB2312" w:cs="仿宋_GB2312"/>
          <w:sz w:val="32"/>
          <w:szCs w:val="32"/>
          <w:highlight w:val="none"/>
          <w:lang w:eastAsia="zh-CN"/>
        </w:rPr>
        <w:t>除</w:t>
      </w:r>
      <w:r>
        <w:rPr>
          <w:rFonts w:hint="eastAsia" w:ascii="仿宋_GB2312" w:hAnsi="仿宋_GB2312" w:eastAsia="仿宋_GB2312" w:cs="仿宋_GB2312"/>
          <w:sz w:val="32"/>
          <w:szCs w:val="32"/>
          <w:highlight w:val="none"/>
        </w:rPr>
        <w:t>在秀洲政府门户网站及时公开政府信息</w:t>
      </w:r>
      <w:r>
        <w:rPr>
          <w:rFonts w:hint="eastAsia" w:ascii="仿宋_GB2312" w:hAnsi="仿宋_GB2312" w:eastAsia="仿宋_GB2312" w:cs="仿宋_GB2312"/>
          <w:sz w:val="32"/>
          <w:szCs w:val="32"/>
          <w:highlight w:val="none"/>
          <w:lang w:eastAsia="zh-CN"/>
        </w:rPr>
        <w:t>外</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还在“创新秀洲”微信公众号及时发布相关信息，</w:t>
      </w:r>
      <w:r>
        <w:rPr>
          <w:rFonts w:hint="eastAsia" w:ascii="仿宋_GB2312" w:hAnsi="仿宋_GB2312" w:eastAsia="仿宋_GB2312" w:cs="仿宋_GB2312"/>
          <w:sz w:val="32"/>
          <w:szCs w:val="32"/>
          <w:highlight w:val="none"/>
        </w:rPr>
        <w:t>保证平台信息更新的及时性和准确性，维护平台建设。</w:t>
      </w:r>
    </w:p>
    <w:p>
      <w:pPr>
        <w:spacing w:line="600" w:lineRule="exact"/>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 xml:space="preserve">    （五）监督保障情况。</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宋体" w:eastAsia="仿宋_GB2312"/>
          <w:sz w:val="32"/>
          <w:szCs w:val="32"/>
          <w:highlight w:val="none"/>
        </w:rPr>
        <w:t>全面加强对政府信息公开工作的管理，</w:t>
      </w:r>
      <w:r>
        <w:rPr>
          <w:rFonts w:hint="eastAsia" w:ascii="仿宋_GB2312" w:hAnsi="宋体" w:eastAsia="仿宋_GB2312"/>
          <w:sz w:val="32"/>
          <w:szCs w:val="32"/>
          <w:highlight w:val="none"/>
          <w:lang w:eastAsia="zh-CN"/>
        </w:rPr>
        <w:t>积极主动开展</w:t>
      </w:r>
      <w:r>
        <w:rPr>
          <w:rFonts w:hint="eastAsia" w:ascii="仿宋_GB2312" w:hAnsi="仿宋_GB2312" w:eastAsia="仿宋_GB2312" w:cs="仿宋_GB2312"/>
          <w:sz w:val="32"/>
          <w:szCs w:val="32"/>
          <w:highlight w:val="none"/>
        </w:rPr>
        <w:t>政务公开中</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监督</w:t>
      </w:r>
      <w:r>
        <w:rPr>
          <w:rFonts w:hint="eastAsia" w:ascii="仿宋_GB2312" w:hAnsi="仿宋_GB2312" w:eastAsia="仿宋_GB2312" w:cs="仿宋_GB2312"/>
          <w:sz w:val="32"/>
          <w:szCs w:val="32"/>
          <w:highlight w:val="none"/>
          <w:lang w:eastAsia="zh-CN"/>
        </w:rPr>
        <w:t>检查</w:t>
      </w:r>
      <w:r>
        <w:rPr>
          <w:rFonts w:hint="eastAsia" w:ascii="仿宋_GB2312" w:hAnsi="仿宋_GB2312" w:eastAsia="仿宋_GB2312" w:cs="仿宋_GB2312"/>
          <w:sz w:val="32"/>
          <w:szCs w:val="32"/>
          <w:highlight w:val="none"/>
        </w:rPr>
        <w:t>工作</w:t>
      </w:r>
      <w:r>
        <w:rPr>
          <w:rFonts w:hint="eastAsia" w:ascii="仿宋_GB2312" w:hAnsi="仿宋_GB2312" w:eastAsia="仿宋_GB2312" w:cs="仿宋_GB2312"/>
          <w:sz w:val="32"/>
          <w:szCs w:val="32"/>
          <w:highlight w:val="none"/>
          <w:lang w:eastAsia="zh-CN"/>
        </w:rPr>
        <w:t>。在国家、省大数据动态抽查的基础上，指定</w:t>
      </w:r>
      <w:r>
        <w:rPr>
          <w:rFonts w:hint="eastAsia" w:ascii="仿宋_GB2312" w:hAnsi="仿宋_GB2312" w:eastAsia="仿宋_GB2312" w:cs="仿宋_GB2312"/>
          <w:sz w:val="32"/>
          <w:szCs w:val="32"/>
          <w:highlight w:val="none"/>
        </w:rPr>
        <w:t>专人负责政府信息公开</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lang w:eastAsia="zh-CN"/>
        </w:rPr>
        <w:t>对照信息更新频率要求开展</w:t>
      </w:r>
      <w:r>
        <w:rPr>
          <w:rFonts w:hint="eastAsia" w:ascii="仿宋_GB2312" w:hAnsi="仿宋_GB2312" w:eastAsia="仿宋_GB2312" w:cs="仿宋_GB2312"/>
          <w:sz w:val="32"/>
          <w:szCs w:val="32"/>
        </w:rPr>
        <w:t>日常自查工作</w:t>
      </w:r>
      <w:r>
        <w:rPr>
          <w:rFonts w:hint="eastAsia" w:ascii="仿宋_GB2312" w:hAnsi="仿宋_GB2312" w:eastAsia="仿宋_GB2312" w:cs="仿宋_GB2312"/>
          <w:sz w:val="32"/>
          <w:szCs w:val="32"/>
          <w:lang w:eastAsia="zh-CN"/>
        </w:rPr>
        <w:t>。若在</w:t>
      </w:r>
      <w:r>
        <w:rPr>
          <w:rFonts w:hint="eastAsia" w:ascii="仿宋_GB2312" w:hAnsi="仿宋_GB2312" w:eastAsia="仿宋_GB2312" w:cs="仿宋_GB2312"/>
          <w:sz w:val="32"/>
          <w:szCs w:val="32"/>
        </w:rPr>
        <w:t>动态抽查中发现更新不及时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无法访问等问题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第一时间</w:t>
      </w:r>
      <w:r>
        <w:rPr>
          <w:rFonts w:hint="eastAsia" w:ascii="仿宋_GB2312" w:hAnsi="仿宋_GB2312" w:eastAsia="仿宋_GB2312" w:cs="仿宋_GB2312"/>
          <w:sz w:val="32"/>
          <w:szCs w:val="32"/>
          <w:lang w:eastAsia="zh-CN"/>
        </w:rPr>
        <w:t>要求责任人</w:t>
      </w:r>
      <w:r>
        <w:rPr>
          <w:rFonts w:hint="eastAsia" w:ascii="仿宋_GB2312" w:hAnsi="仿宋_GB2312" w:eastAsia="仿宋_GB2312" w:cs="仿宋_GB2312"/>
          <w:sz w:val="32"/>
          <w:szCs w:val="32"/>
        </w:rPr>
        <w:t>整改</w:t>
      </w:r>
      <w:r>
        <w:rPr>
          <w:rFonts w:hint="eastAsia" w:ascii="仿宋_GB2312" w:hAnsi="宋体" w:eastAsia="仿宋_GB2312"/>
          <w:sz w:val="32"/>
          <w:szCs w:val="32"/>
        </w:rPr>
        <w:t>。</w:t>
      </w:r>
    </w:p>
    <w:p>
      <w:pPr>
        <w:widowControl/>
        <w:numPr>
          <w:ilvl w:val="0"/>
          <w:numId w:val="2"/>
        </w:numPr>
        <w:spacing w:line="60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rPr>
                <w:rFonts w:hint="eastAsia"/>
              </w:rPr>
            </w:pPr>
            <w:r>
              <w:rPr>
                <w:rFonts w:hint="eastAsia"/>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rPr>
                <w:rFonts w:hint="eastAsia"/>
              </w:rPr>
            </w:pPr>
            <w:r>
              <w:rPr>
                <w:rFonts w:hint="eastAsia"/>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rPr>
                <w:rFonts w:hint="eastAsia"/>
              </w:rPr>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rPr>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rPr>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pPr>
            <w:r>
              <w:rPr>
                <w:rFonts w:hint="eastAsia" w:ascii="宋体" w:hAnsi="宋体" w:cs="宋体"/>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rPr>
                <w:rFonts w:hint="eastAsia" w:ascii="宋体"/>
                <w:sz w:val="24"/>
              </w:rPr>
            </w:pPr>
            <w:r>
              <w:rPr>
                <w:rFonts w:hint="eastAsia"/>
              </w:rPr>
              <w:t>0</w:t>
            </w:r>
          </w:p>
        </w:tc>
      </w:tr>
    </w:tbl>
    <w:p>
      <w:pPr>
        <w:pStyle w:val="2"/>
        <w:numPr>
          <w:ilvl w:val="0"/>
          <w:numId w:val="0"/>
        </w:numPr>
        <w:rPr>
          <w:rFonts w:hint="eastAsia"/>
        </w:rPr>
      </w:pPr>
    </w:p>
    <w:p>
      <w:pPr>
        <w:widowControl/>
        <w:numPr>
          <w:ilvl w:val="0"/>
          <w:numId w:val="2"/>
        </w:numPr>
        <w:spacing w:line="60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pPr>
            <w:r>
              <w:rPr>
                <w:rFonts w:ascii="楷体" w:hAnsi="楷体" w:eastAsia="楷体" w:cs="楷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rPr>
            </w:pPr>
          </w:p>
        </w:tc>
        <w:tc>
          <w:tcPr>
            <w:tcW w:w="714"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法人或其他组织</w:t>
            </w:r>
          </w:p>
        </w:tc>
        <w:tc>
          <w:tcPr>
            <w:tcW w:w="714"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rPr>
            </w:pPr>
          </w:p>
        </w:tc>
        <w:tc>
          <w:tcPr>
            <w:tcW w:w="714" w:type="dxa"/>
            <w:vMerge w:val="continue"/>
            <w:tcBorders>
              <w:top w:val="nil"/>
              <w:left w:val="nil"/>
              <w:bottom w:val="single" w:color="auto" w:sz="8" w:space="0"/>
              <w:right w:val="single" w:color="auto" w:sz="8" w:space="0"/>
            </w:tcBorders>
            <w:tcMar>
              <w:left w:w="57" w:type="dxa"/>
              <w:right w:w="57" w:type="dxa"/>
            </w:tcMar>
            <w:vAlign w:val="center"/>
          </w:tcPr>
          <w:p>
            <w:pPr>
              <w:rPr>
                <w:rFonts w:hint="eastAsia" w:ascii="宋体"/>
                <w:sz w:val="24"/>
              </w:rPr>
            </w:pPr>
          </w:p>
        </w:tc>
        <w:tc>
          <w:tcPr>
            <w:tcW w:w="714" w:type="dxa"/>
            <w:tcBorders>
              <w:top w:val="nil"/>
              <w:left w:val="nil"/>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商业</w:t>
            </w:r>
          </w:p>
          <w:p>
            <w:pPr>
              <w:widowControl/>
              <w:jc w:val="center"/>
            </w:pPr>
            <w:r>
              <w:rPr>
                <w:rFonts w:hint="eastAsia" w:ascii="宋体" w:hAnsi="宋体" w:cs="宋体"/>
                <w:kern w:val="0"/>
                <w:sz w:val="20"/>
                <w:szCs w:val="20"/>
              </w:rPr>
              <w:t>企业</w:t>
            </w:r>
          </w:p>
        </w:tc>
        <w:tc>
          <w:tcPr>
            <w:tcW w:w="714" w:type="dxa"/>
            <w:tcBorders>
              <w:top w:val="nil"/>
              <w:left w:val="nil"/>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科研</w:t>
            </w:r>
          </w:p>
          <w:p>
            <w:pPr>
              <w:widowControl/>
              <w:jc w:val="center"/>
            </w:pPr>
            <w:r>
              <w:rPr>
                <w:rFonts w:hint="eastAsia" w:ascii="宋体" w:hAnsi="宋体" w:cs="宋体"/>
                <w:kern w:val="0"/>
                <w:sz w:val="20"/>
                <w:szCs w:val="20"/>
              </w:rPr>
              <w:t>机构</w:t>
            </w:r>
          </w:p>
        </w:tc>
        <w:tc>
          <w:tcPr>
            <w:tcW w:w="714"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其他</w:t>
            </w:r>
          </w:p>
        </w:tc>
        <w:tc>
          <w:tcPr>
            <w:tcW w:w="714"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hint="eastAsia"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三、本年度办理结果</w:t>
            </w:r>
          </w:p>
        </w:tc>
        <w:tc>
          <w:tcPr>
            <w:tcW w:w="4365"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（一）予以公开</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4365"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（二）部分公开</w:t>
            </w:r>
            <w:r>
              <w:rPr>
                <w:rFonts w:ascii="楷体" w:hAnsi="楷体" w:eastAsia="楷体" w:cs="楷体"/>
                <w:kern w:val="0"/>
                <w:sz w:val="20"/>
                <w:szCs w:val="20"/>
              </w:rPr>
              <w:t>（区分处理的，只计这一情形，不计其他情形）</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（三）不予公开</w:t>
            </w: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1.属于国家秘密</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2.其他法律行政法规禁止公开</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3.危及“三安全一稳定”</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4.保护第三方合法权益</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5.属于三类内部事务信息</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6.属于四类过程性信息</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7.属于行政执法案卷</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8.属于行政查询事项</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（四）无法提供</w:t>
            </w: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1.本机关不掌握相关政府信息</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2.没有现成信息需要另行制作</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3.补正后申请内容仍不明确</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（五）不予处理</w:t>
            </w: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1.信访举报投诉类申请</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2.重复申请</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3.要求提供公开出版物</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4.无正当理由大量反复申请</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outset" w:color="auto" w:sz="8" w:space="0"/>
              <w:right w:val="single" w:color="auto" w:sz="8" w:space="0"/>
            </w:tcBorders>
            <w:tcMar>
              <w:left w:w="57" w:type="dxa"/>
              <w:right w:w="57" w:type="dxa"/>
            </w:tcMar>
            <w:vAlign w:val="center"/>
          </w:tcPr>
          <w:p>
            <w:pPr>
              <w:widowControl/>
            </w:pPr>
            <w:r>
              <w:rPr>
                <w:rFonts w:hint="eastAsia" w:ascii="宋体" w:hAnsi="宋体" w:cs="宋体"/>
                <w:kern w:val="0"/>
                <w:sz w:val="20"/>
                <w:szCs w:val="20"/>
              </w:rPr>
              <w:t>5.要求行政机关确认或重新出具已获取信息</w:t>
            </w:r>
          </w:p>
        </w:tc>
        <w:tc>
          <w:tcPr>
            <w:tcW w:w="714"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（六）其他处理</w:t>
            </w:r>
          </w:p>
        </w:tc>
        <w:tc>
          <w:tcPr>
            <w:tcW w:w="3406"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ascii="宋体" w:hAnsi="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ascii="宋体" w:hAnsi="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3.其他</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4365"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（七）总计</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150"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四、结转下年度继续办理</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sz w:val="24"/>
              </w:rPr>
            </w:pPr>
            <w:r>
              <w:rPr>
                <w:rFonts w:ascii="Calibri" w:hAnsi="Calibri" w:cs="宋体"/>
                <w:kern w:val="0"/>
                <w:sz w:val="20"/>
                <w:szCs w:val="20"/>
              </w:rPr>
              <w:t> </w:t>
            </w:r>
            <w:r>
              <w:rPr>
                <w:rFonts w:hint="eastAsia" w:ascii="Calibri" w:hAnsi="Calibri" w:cs="宋体"/>
                <w:kern w:val="0"/>
                <w:sz w:val="20"/>
                <w:szCs w:val="20"/>
              </w:rPr>
              <w:t>0</w:t>
            </w:r>
          </w:p>
        </w:tc>
      </w:tr>
    </w:tbl>
    <w:p>
      <w:pPr>
        <w:pStyle w:val="2"/>
        <w:numPr>
          <w:ilvl w:val="0"/>
          <w:numId w:val="0"/>
        </w:numPr>
        <w:rPr>
          <w:rFonts w:hint="eastAsia"/>
        </w:rPr>
      </w:pPr>
    </w:p>
    <w:p>
      <w:pPr>
        <w:pStyle w:val="2"/>
        <w:numPr>
          <w:ilvl w:val="0"/>
          <w:numId w:val="0"/>
        </w:numPr>
        <w:rPr>
          <w:rFonts w:hint="eastAsia"/>
        </w:rPr>
      </w:pPr>
    </w:p>
    <w:p>
      <w:pPr>
        <w:widowControl/>
        <w:numPr>
          <w:ilvl w:val="0"/>
          <w:numId w:val="2"/>
        </w:numPr>
        <w:spacing w:line="60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rPr>
            </w:pPr>
          </w:p>
        </w:tc>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rPr>
            </w:pP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其他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宋体"/>
                <w:sz w:val="24"/>
              </w:rPr>
            </w:pPr>
            <w:r>
              <w:rPr>
                <w:rFonts w:ascii="Calibri" w:hAnsi="Calibri" w:cs="宋体"/>
                <w:kern w:val="0"/>
                <w:sz w:val="20"/>
                <w:szCs w:val="20"/>
              </w:rPr>
              <w:t> </w:t>
            </w:r>
            <w:r>
              <w:rPr>
                <w:rFonts w:hint="eastAsia" w:ascii="Calibri" w:hAnsi="Calibri" w:cs="宋体"/>
                <w:kern w:val="0"/>
                <w:sz w:val="20"/>
                <w:szCs w:val="20"/>
              </w:rPr>
              <w:t>0</w:t>
            </w:r>
          </w:p>
        </w:tc>
      </w:tr>
    </w:tbl>
    <w:p>
      <w:pPr>
        <w:widowControl/>
        <w:jc w:val="left"/>
        <w:rPr>
          <w:rFonts w:hint="eastAsia" w:ascii="宋体" w:hAnsi="宋体" w:cs="宋体"/>
          <w:kern w:val="0"/>
          <w:sz w:val="20"/>
          <w:szCs w:val="20"/>
        </w:rPr>
      </w:pPr>
    </w:p>
    <w:p>
      <w:pPr>
        <w:widowControl/>
        <w:spacing w:line="600" w:lineRule="exact"/>
        <w:ind w:firstLine="480"/>
        <w:rPr>
          <w:rFonts w:hint="eastAsia" w:ascii="仿宋_GB2312" w:hAnsi="仿宋_GB2312" w:eastAsia="仿宋_GB2312" w:cs="仿宋_GB2312"/>
          <w:sz w:val="32"/>
          <w:szCs w:val="32"/>
        </w:rPr>
      </w:pPr>
      <w:r>
        <w:rPr>
          <w:rFonts w:hint="eastAsia" w:ascii="黑体" w:hAnsi="黑体" w:eastAsia="黑体" w:cs="黑体"/>
          <w:kern w:val="0"/>
          <w:sz w:val="32"/>
          <w:szCs w:val="32"/>
        </w:rPr>
        <w:t>五、存在的主要问题及改进情况</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（一）存在的主要问题。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一是政务信息公开的内容有待进一步完善。当前信息发布主要集中于工作动态、通知公告等，当前我局发布的信息覆盖面还不够全。二</w:t>
      </w:r>
      <w:r>
        <w:rPr>
          <w:rFonts w:hint="eastAsia" w:ascii="仿宋_GB2312" w:hAnsi="仿宋_GB2312" w:eastAsia="仿宋_GB2312" w:cs="仿宋_GB2312"/>
          <w:sz w:val="32"/>
          <w:szCs w:val="32"/>
          <w:lang w:eastAsia="zh-CN"/>
        </w:rPr>
        <w:t>是</w:t>
      </w:r>
      <w:bookmarkStart w:id="0" w:name="_GoBack"/>
      <w:r>
        <w:rPr>
          <w:rFonts w:hint="eastAsia" w:ascii="仿宋_GB2312" w:hAnsi="仿宋_GB2312" w:eastAsia="仿宋_GB2312" w:cs="仿宋_GB2312"/>
          <w:sz w:val="32"/>
          <w:szCs w:val="32"/>
          <w:lang w:eastAsia="zh-CN"/>
        </w:rPr>
        <w:t>政策解读方式和方法有待丰富</w:t>
      </w:r>
      <w:r>
        <w:rPr>
          <w:rFonts w:hint="eastAsia" w:ascii="仿宋_GB2312" w:hAnsi="仿宋_GB2312" w:eastAsia="仿宋_GB2312" w:cs="仿宋_GB2312"/>
          <w:sz w:val="32"/>
          <w:szCs w:val="32"/>
        </w:rPr>
        <w:t>。</w:t>
      </w:r>
      <w:bookmarkEnd w:id="0"/>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（二）改进措施。</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一是进一步加强公开力度。</w:t>
      </w:r>
      <w:r>
        <w:rPr>
          <w:rFonts w:hint="eastAsia" w:ascii="仿宋_GB2312" w:hAnsi="仿宋_GB2312" w:eastAsia="仿宋_GB2312" w:cs="仿宋_GB2312"/>
          <w:sz w:val="32"/>
          <w:szCs w:val="32"/>
        </w:rPr>
        <w:t>对于群众关心的问题加大公开，进一步扩大政府信息公开范围，增加信息公开数量，确保应公开尽公开。加大对重点工作、重要决策部署、重大改革措施的解读力度，及时关注舆情，回应社会关切。</w:t>
      </w:r>
    </w:p>
    <w:p>
      <w:pPr>
        <w:spacing w:line="600" w:lineRule="exact"/>
        <w:ind w:firstLine="64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二是进一步</w:t>
      </w:r>
      <w:r>
        <w:rPr>
          <w:rFonts w:hint="eastAsia" w:ascii="仿宋_GB2312" w:hAnsi="仿宋_GB2312" w:eastAsia="仿宋_GB2312" w:cs="仿宋_GB2312"/>
          <w:b/>
          <w:bCs/>
          <w:sz w:val="32"/>
          <w:szCs w:val="32"/>
          <w:lang w:eastAsia="zh-CN"/>
        </w:rPr>
        <w:t>丰富解读方式</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进一步拓展公开方式和途径，从方便群众、贴近群众的角度，创新公开渠道和载体建设，加强网站和微信公众号建设力度。</w:t>
      </w:r>
    </w:p>
    <w:p>
      <w:pPr>
        <w:widowControl/>
        <w:spacing w:line="600" w:lineRule="exact"/>
        <w:ind w:firstLine="480"/>
        <w:rPr>
          <w:rFonts w:hint="eastAsia" w:ascii="黑体" w:hAnsi="黑体" w:eastAsia="黑体" w:cs="黑体"/>
          <w:kern w:val="0"/>
          <w:sz w:val="32"/>
          <w:szCs w:val="32"/>
        </w:rPr>
      </w:pPr>
      <w:r>
        <w:rPr>
          <w:rFonts w:hint="eastAsia" w:ascii="黑体" w:hAnsi="黑体" w:eastAsia="黑体" w:cs="黑体"/>
          <w:kern w:val="0"/>
          <w:sz w:val="32"/>
          <w:szCs w:val="32"/>
        </w:rPr>
        <w:t>六、其他需要报告的事项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按照《国务院办公厅关于印发&lt;政府信息公开信息处理费管理办法&gt;的通知》（国办函【2020】109号）的规定，收取相关费用。</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隶书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828027"/>
    <w:multiLevelType w:val="singleLevel"/>
    <w:tmpl w:val="CF828027"/>
    <w:lvl w:ilvl="0" w:tentative="0">
      <w:start w:val="1"/>
      <w:numFmt w:val="chineseCounting"/>
      <w:suff w:val="nothing"/>
      <w:lvlText w:val="%1、"/>
      <w:lvlJc w:val="left"/>
      <w:rPr>
        <w:rFonts w:hint="eastAsia"/>
      </w:rPr>
    </w:lvl>
  </w:abstractNum>
  <w:abstractNum w:abstractNumId="1">
    <w:nsid w:val="FFFFFF83"/>
    <w:multiLevelType w:val="singleLevel"/>
    <w:tmpl w:val="FFFFFF83"/>
    <w:lvl w:ilvl="0" w:tentative="0">
      <w:start w:val="1"/>
      <w:numFmt w:val="bullet"/>
      <w:pStyle w:val="2"/>
      <w:lvlText w:val=""/>
      <w:lvlJc w:val="left"/>
      <w:pPr>
        <w:tabs>
          <w:tab w:val="left" w:pos="780"/>
        </w:tabs>
        <w:ind w:left="780" w:leftChars="200" w:hanging="360" w:hangingChars="20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55892"/>
    <w:rsid w:val="00855892"/>
    <w:rsid w:val="00A81233"/>
    <w:rsid w:val="316E3194"/>
    <w:rsid w:val="3EE66152"/>
    <w:rsid w:val="3F5A6480"/>
    <w:rsid w:val="566FFAC1"/>
    <w:rsid w:val="6F1D9745"/>
    <w:rsid w:val="7F1B2972"/>
    <w:rsid w:val="9DEE5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List Bullet 2"/>
    <w:basedOn w:val="1"/>
    <w:unhideWhenUsed/>
    <w:qFormat/>
    <w:uiPriority w:val="0"/>
    <w:pPr>
      <w:numPr>
        <w:ilvl w:val="0"/>
        <w:numId w:val="1"/>
      </w:numPr>
      <w:contextualSpacing/>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386</Words>
  <Characters>2201</Characters>
  <Lines>18</Lines>
  <Paragraphs>5</Paragraphs>
  <TotalTime>67</TotalTime>
  <ScaleCrop>false</ScaleCrop>
  <LinksUpToDate>false</LinksUpToDate>
  <CharactersWithSpaces>2582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2022-01-20T16:40:00Z</dcterms:created>
  <dc:creator>Windows 用户</dc:creator>
  <cp:lastModifiedBy>user</cp:lastModifiedBy>
  <dcterms:modified xsi:type="dcterms:W3CDTF">2022-07-21T15:27:03Z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