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rFonts w:hint="eastAsia"/>
        </w:rPr>
        <w:t>FXZD01-2021-0012</w:t>
      </w:r>
    </w:p>
    <w:p>
      <w:pPr>
        <w:rPr>
          <w:sz w:val="30"/>
          <w:szCs w:val="30"/>
        </w:rPr>
      </w:pPr>
    </w:p>
    <w:p>
      <w:pPr>
        <w:rPr>
          <w:sz w:val="30"/>
          <w:szCs w:val="30"/>
        </w:rPr>
      </w:pPr>
      <w:r>
        <w:pict>
          <v:shape id="Text Box 2" o:spid="_x0000_s1026" o:spt="202" type="#_x0000_t202" style="position:absolute;left:0pt;margin-left:0pt;margin-top:192.8pt;height:52.45pt;width:441.05pt;mso-position-vertical-relative:page;mso-wrap-distance-bottom:0pt;mso-wrap-distance-top:0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">
            <v:path/>
            <v:fill on="f" focussize="0,0"/>
            <v:stroke on="f" joinstyle="miter"/>
            <v:imagedata o:title=""/>
            <o:lock v:ext="edit"/>
            <v:textbox>
              <w:txbxContent>
                <w:p>
                  <w:pPr>
                    <w:spacing w:line="800" w:lineRule="exact"/>
                    <w:jc w:val="center"/>
                    <w:rPr>
                      <w:spacing w:val="-40"/>
                      <w:w w:val="90"/>
                      <w:sz w:val="90"/>
                      <w:szCs w:val="90"/>
                    </w:rPr>
                  </w:pPr>
                  <w:r>
                    <w:rPr>
                      <w:rFonts w:hint="eastAsia" w:ascii="文星简小标宋" w:eastAsia="文星简小标宋" w:cs="文星简小标宋"/>
                      <w:color w:val="FF0000"/>
                      <w:spacing w:val="-26"/>
                      <w:w w:val="80"/>
                      <w:sz w:val="78"/>
                      <w:szCs w:val="78"/>
                    </w:rPr>
                    <w:t>嘉兴市秀洲区人民政府办公室文件</w:t>
                  </w:r>
                </w:p>
              </w:txbxContent>
            </v:textbox>
            <w10:wrap type="topAndBottom"/>
          </v:shape>
        </w:pict>
      </w:r>
    </w:p>
    <w:p>
      <w:pPr>
        <w:spacing w:line="500" w:lineRule="exact"/>
        <w:rPr>
          <w:sz w:val="30"/>
          <w:szCs w:val="30"/>
        </w:rPr>
      </w:pPr>
    </w:p>
    <w:p>
      <w:pPr>
        <w:spacing w:line="500" w:lineRule="exact"/>
        <w:rPr>
          <w:sz w:val="30"/>
          <w:szCs w:val="30"/>
        </w:rPr>
      </w:pPr>
    </w:p>
    <w:p>
      <w:pPr>
        <w:spacing w:afterLines="15"/>
        <w:ind w:left="316" w:leftChars="100" w:right="316" w:rightChars="100"/>
        <w:jc w:val="center"/>
        <w:rPr>
          <w:sz w:val="30"/>
          <w:szCs w:val="30"/>
        </w:rPr>
      </w:pPr>
      <w:r>
        <w:rPr>
          <w:rFonts w:hint="eastAsia"/>
        </w:rPr>
        <w:t>秀洲政办发〔2021〕59号</w:t>
      </w:r>
    </w:p>
    <w:tbl>
      <w:tblPr>
        <w:tblStyle w:val="13"/>
        <w:tblW w:w="8823" w:type="dxa"/>
        <w:jc w:val="center"/>
        <w:tblBorders>
          <w:top w:val="single"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FF0000"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23" w:type="dxa"/>
            <w:tcBorders>
              <w:top w:val="single" w:color="FF0000" w:sz="24" w:space="0"/>
              <w:left w:val="nil"/>
              <w:bottom w:val="nil"/>
              <w:right w:val="nil"/>
            </w:tcBorders>
          </w:tcPr>
          <w:p>
            <w:pPr>
              <w:rPr>
                <w:sz w:val="30"/>
                <w:szCs w:val="30"/>
              </w:rPr>
            </w:pPr>
          </w:p>
        </w:tc>
      </w:tr>
    </w:tbl>
    <w:p>
      <w:pPr>
        <w:spacing w:line="500" w:lineRule="exact"/>
        <w:rPr>
          <w:sz w:val="30"/>
          <w:szCs w:val="30"/>
        </w:rPr>
      </w:pPr>
    </w:p>
    <w:p>
      <w:pPr>
        <w:tabs>
          <w:tab w:val="left" w:pos="5760"/>
        </w:tabs>
        <w:spacing w:line="560" w:lineRule="exact"/>
        <w:jc w:val="center"/>
        <w:rPr>
          <w:rFonts w:ascii="文星简小标宋" w:hAnsi="MS Mincho" w:eastAsia="文星简小标宋" w:cs="MS Mincho"/>
          <w:sz w:val="44"/>
          <w:szCs w:val="44"/>
        </w:rPr>
      </w:pPr>
      <w:r>
        <w:rPr>
          <w:rFonts w:hint="eastAsia" w:ascii="文星简小标宋" w:hAnsi="????????????" w:eastAsia="文星简小标宋" w:cs="????????????"/>
          <w:sz w:val="44"/>
          <w:szCs w:val="44"/>
        </w:rPr>
        <w:t>嘉</w:t>
      </w:r>
      <w:r>
        <w:rPr>
          <w:rFonts w:hint="eastAsia" w:ascii="文星简小标宋" w:hAnsi="宋体" w:eastAsia="文星简小标宋" w:cs="宋体"/>
          <w:sz w:val="44"/>
          <w:szCs w:val="44"/>
        </w:rPr>
        <w:t>兴</w:t>
      </w:r>
      <w:r>
        <w:rPr>
          <w:rFonts w:hint="eastAsia" w:ascii="文星简小标宋" w:hAnsi="MS Mincho" w:eastAsia="文星简小标宋" w:cs="MS Mincho"/>
          <w:sz w:val="44"/>
          <w:szCs w:val="44"/>
        </w:rPr>
        <w:t>市秀洲区人民政府</w:t>
      </w:r>
      <w:r>
        <w:rPr>
          <w:rFonts w:hint="eastAsia" w:ascii="文星简小标宋" w:hAnsi="宋体" w:eastAsia="文星简小标宋" w:cs="宋体"/>
          <w:sz w:val="44"/>
          <w:szCs w:val="44"/>
        </w:rPr>
        <w:t>办</w:t>
      </w:r>
      <w:r>
        <w:rPr>
          <w:rFonts w:hint="eastAsia" w:ascii="文星简小标宋" w:hAnsi="MS Mincho" w:eastAsia="文星简小标宋" w:cs="MS Mincho"/>
          <w:sz w:val="44"/>
          <w:szCs w:val="44"/>
        </w:rPr>
        <w:t>公室</w:t>
      </w:r>
    </w:p>
    <w:p>
      <w:pPr>
        <w:spacing w:line="560" w:lineRule="exact"/>
        <w:jc w:val="center"/>
        <w:rPr>
          <w:rFonts w:ascii="文星简小标宋" w:hAnsi="黑体" w:eastAsia="文星简小标宋" w:cs="仿宋"/>
          <w:sz w:val="44"/>
          <w:szCs w:val="44"/>
        </w:rPr>
      </w:pPr>
      <w:r>
        <w:rPr>
          <w:rFonts w:hint="eastAsia" w:ascii="文星简小标宋" w:eastAsia="文星简小标宋"/>
          <w:spacing w:val="-10"/>
          <w:sz w:val="44"/>
          <w:szCs w:val="44"/>
        </w:rPr>
        <w:t>印发《</w:t>
      </w:r>
      <w:r>
        <w:rPr>
          <w:rFonts w:hint="eastAsia" w:ascii="文星简小标宋" w:hAnsi="黑体" w:eastAsia="文星简小标宋" w:cs="仿宋"/>
          <w:sz w:val="44"/>
          <w:szCs w:val="44"/>
        </w:rPr>
        <w:t>秀洲区农村集体经营性建设用地入市</w:t>
      </w:r>
    </w:p>
    <w:p>
      <w:pPr>
        <w:spacing w:line="560" w:lineRule="exact"/>
        <w:jc w:val="center"/>
        <w:rPr>
          <w:rFonts w:ascii="文星简小标宋" w:hAnsi="黑体" w:eastAsia="文星简小标宋" w:cs="仿宋"/>
          <w:sz w:val="44"/>
          <w:szCs w:val="44"/>
        </w:rPr>
      </w:pPr>
      <w:r>
        <w:rPr>
          <w:rFonts w:hint="eastAsia" w:ascii="文星简小标宋" w:hAnsi="黑体" w:eastAsia="文星简小标宋" w:cs="仿宋"/>
          <w:sz w:val="44"/>
          <w:szCs w:val="44"/>
        </w:rPr>
        <w:t>试点实施方案</w:t>
      </w:r>
      <w:r>
        <w:rPr>
          <w:rFonts w:hint="eastAsia" w:ascii="文星简小标宋" w:eastAsia="文星简小标宋"/>
          <w:spacing w:val="-10"/>
          <w:sz w:val="44"/>
          <w:szCs w:val="44"/>
        </w:rPr>
        <w:t>》的通知</w:t>
      </w:r>
    </w:p>
    <w:p>
      <w:pPr>
        <w:tabs>
          <w:tab w:val="left" w:pos="5760"/>
        </w:tabs>
        <w:spacing w:line="560" w:lineRule="exact"/>
        <w:jc w:val="center"/>
        <w:rPr>
          <w:rFonts w:eastAsia="文星简小标宋" w:cs="文星简小标宋"/>
          <w:sz w:val="44"/>
          <w:szCs w:val="44"/>
        </w:rPr>
      </w:pPr>
    </w:p>
    <w:p>
      <w:pPr>
        <w:spacing w:line="560" w:lineRule="exact"/>
      </w:pPr>
      <w:r>
        <w:rPr>
          <w:rFonts w:hint="eastAsia"/>
        </w:rPr>
        <w:t>各镇人民政府、街道办事处，区级机关各部门：</w:t>
      </w:r>
    </w:p>
    <w:p>
      <w:pPr>
        <w:spacing w:line="560" w:lineRule="exact"/>
        <w:ind w:firstLine="555"/>
      </w:pPr>
      <w:r>
        <w:rPr>
          <w:rFonts w:hint="eastAsia" w:hAnsi="Arial"/>
        </w:rPr>
        <w:t>《</w:t>
      </w:r>
      <w:r>
        <w:rPr>
          <w:rFonts w:hint="eastAsia"/>
        </w:rPr>
        <w:t>秀洲区农村集体经营性建设用地入市试点实施方案</w:t>
      </w:r>
      <w:r>
        <w:rPr>
          <w:rFonts w:hint="eastAsia" w:hAnsi="Arial"/>
        </w:rPr>
        <w:t>》已经区政府同意，现印发给你们，请认真贯彻执行。</w:t>
      </w:r>
    </w:p>
    <w:p>
      <w:pPr>
        <w:spacing w:line="560" w:lineRule="exact"/>
        <w:ind w:firstLine="555"/>
        <w:rPr>
          <w:rFonts w:hAnsi="Arial"/>
          <w:spacing w:val="-6"/>
        </w:rPr>
      </w:pPr>
    </w:p>
    <w:p>
      <w:pPr>
        <w:spacing w:line="560" w:lineRule="exact"/>
        <w:ind w:firstLine="556"/>
        <w:rPr>
          <w:rFonts w:hAnsi="Arial"/>
          <w:spacing w:val="-6"/>
        </w:rPr>
      </w:pPr>
    </w:p>
    <w:p>
      <w:pPr>
        <w:tabs>
          <w:tab w:val="left" w:pos="4088"/>
        </w:tabs>
        <w:spacing w:line="560" w:lineRule="exact"/>
        <w:ind w:firstLine="4357" w:firstLineChars="1379"/>
      </w:pPr>
      <w:r>
        <w:rPr>
          <w:rFonts w:hint="eastAsia"/>
        </w:rPr>
        <w:t>嘉兴市秀洲区人民政府办公室</w:t>
      </w:r>
    </w:p>
    <w:p>
      <w:pPr>
        <w:tabs>
          <w:tab w:val="left" w:pos="4088"/>
        </w:tabs>
        <w:spacing w:line="560" w:lineRule="exact"/>
        <w:ind w:right="1264" w:rightChars="400"/>
        <w:jc w:val="right"/>
      </w:pPr>
      <w:r>
        <w:rPr>
          <w:rFonts w:hint="eastAsia"/>
        </w:rPr>
        <w:t>2021年12月31日</w:t>
      </w:r>
    </w:p>
    <w:p>
      <w:pPr>
        <w:tabs>
          <w:tab w:val="left" w:pos="4088"/>
        </w:tabs>
        <w:spacing w:line="560" w:lineRule="exact"/>
        <w:ind w:right="1264" w:rightChars="400" w:firstLine="630"/>
      </w:pPr>
      <w:r>
        <w:rPr>
          <w:rFonts w:hint="eastAsia"/>
        </w:rPr>
        <w:t>（此件公开发布）</w:t>
      </w:r>
    </w:p>
    <w:p>
      <w:pPr>
        <w:spacing w:line="560" w:lineRule="exact"/>
        <w:jc w:val="center"/>
        <w:rPr>
          <w:rFonts w:ascii="文星简小标宋" w:hAnsi="黑体" w:eastAsia="文星简小标宋" w:cs="仿宋"/>
          <w:sz w:val="44"/>
          <w:szCs w:val="44"/>
        </w:rPr>
      </w:pPr>
      <w:r>
        <w:rPr>
          <w:rFonts w:hint="eastAsia" w:ascii="文星简小标宋" w:hAnsi="仿宋_GB2312" w:eastAsia="文星简小标宋"/>
        </w:rPr>
        <w:br w:type="page"/>
      </w:r>
      <w:r>
        <w:rPr>
          <w:rFonts w:hint="eastAsia" w:ascii="文星简小标宋" w:hAnsi="黑体" w:eastAsia="文星简小标宋" w:cs="仿宋"/>
          <w:sz w:val="44"/>
          <w:szCs w:val="44"/>
        </w:rPr>
        <w:t>秀洲区农村集体经营性建设用地入市试点</w:t>
      </w:r>
    </w:p>
    <w:p>
      <w:pPr>
        <w:spacing w:line="560" w:lineRule="exact"/>
        <w:jc w:val="center"/>
        <w:rPr>
          <w:rFonts w:ascii="文星简小标宋" w:hAnsi="黑体" w:eastAsia="文星简小标宋" w:cs="仿宋"/>
          <w:sz w:val="44"/>
          <w:szCs w:val="44"/>
        </w:rPr>
      </w:pPr>
      <w:r>
        <w:rPr>
          <w:rFonts w:hint="eastAsia" w:ascii="文星简小标宋" w:hAnsi="黑体" w:eastAsia="文星简小标宋" w:cs="仿宋"/>
          <w:sz w:val="44"/>
          <w:szCs w:val="44"/>
        </w:rPr>
        <w:t>实施方案</w:t>
      </w:r>
    </w:p>
    <w:p>
      <w:pPr>
        <w:pStyle w:val="4"/>
      </w:pPr>
    </w:p>
    <w:p>
      <w:pPr>
        <w:spacing w:line="560" w:lineRule="exact"/>
        <w:rPr>
          <w:rFonts w:hAnsi="仿宋" w:cs="仿宋"/>
        </w:rPr>
      </w:pPr>
      <w:r>
        <w:rPr>
          <w:rFonts w:hint="eastAsia" w:ascii="仿宋" w:hAnsi="仿宋" w:eastAsia="仿宋" w:cs="仿宋"/>
          <w:sz w:val="30"/>
          <w:szCs w:val="30"/>
        </w:rPr>
        <w:t xml:space="preserve">    </w:t>
      </w:r>
      <w:r>
        <w:rPr>
          <w:rFonts w:hint="eastAsia" w:hAnsi="仿宋" w:cs="仿宋"/>
        </w:rPr>
        <w:t>为深入贯彻落实《中共中央国务院关于建立健全城乡融合发展体制机制和政策体系的意见》和《国家城乡融合发展试验区改革方案》有关要求，进一步规范集体经营性建设用地入市行为，构建城乡统一的建设用地市场，保障农民合法权益，根据新修订的《中华人民共和国土地管理法》《中华人民共和国土地管理法实施条例》《浙江省土地管理条例》等有关法律法规和《中共中央 国务院关于支持浙江高质量发展建设共同富裕示范区的意见》精神，现就秀洲区开展农村集体经营性建设用地入市改革试点工作，结合秀洲区实际，制订本实施方案。</w:t>
      </w:r>
    </w:p>
    <w:p>
      <w:pPr>
        <w:spacing w:line="560" w:lineRule="exact"/>
        <w:ind w:firstLine="632" w:firstLineChars="200"/>
        <w:rPr>
          <w:rFonts w:ascii="黑体" w:hAnsi="黑体" w:eastAsia="黑体" w:cs="仿宋"/>
        </w:rPr>
      </w:pPr>
      <w:r>
        <w:rPr>
          <w:rFonts w:hint="eastAsia" w:ascii="黑体" w:hAnsi="黑体" w:eastAsia="黑体" w:cs="仿宋"/>
        </w:rPr>
        <w:t>一、工作目标</w:t>
      </w:r>
    </w:p>
    <w:p>
      <w:pPr>
        <w:spacing w:line="560" w:lineRule="exact"/>
        <w:ind w:firstLine="632" w:firstLineChars="200"/>
        <w:rPr>
          <w:rFonts w:hAnsi="仿宋" w:cs="仿宋"/>
          <w:spacing w:val="-6"/>
        </w:rPr>
      </w:pPr>
      <w:r>
        <w:rPr>
          <w:rFonts w:hint="eastAsia" w:hAnsi="仿宋" w:cs="仿宋"/>
        </w:rPr>
        <w:t>积极盘活农村存量建设用地，充分发挥村级组织管理集体土地的主动性、积极性，探索“同地同权、流转顺畅、收益共享”的农村集体经营性建设用地入市体制机制，构建城乡统一的建设用地市场，优化农村土地布局，保障农民合法权益，有效促进农民增收，</w:t>
      </w:r>
      <w:r>
        <w:rPr>
          <w:rFonts w:hint="eastAsia" w:hAnsi="仿宋" w:cs="仿宋"/>
          <w:spacing w:val="-6"/>
        </w:rPr>
        <w:t>促进乡村振兴，促进农村发展，实现多规合一、节约利用。</w:t>
      </w:r>
    </w:p>
    <w:p>
      <w:pPr>
        <w:spacing w:line="560" w:lineRule="exact"/>
        <w:ind w:firstLine="632" w:firstLineChars="200"/>
        <w:rPr>
          <w:rFonts w:ascii="黑体" w:hAnsi="黑体" w:eastAsia="黑体" w:cs="仿宋"/>
        </w:rPr>
      </w:pPr>
      <w:r>
        <w:rPr>
          <w:rFonts w:hint="eastAsia" w:ascii="黑体" w:hAnsi="黑体" w:eastAsia="黑体" w:cs="仿宋"/>
        </w:rPr>
        <w:t>二、主要内容</w:t>
      </w:r>
    </w:p>
    <w:p>
      <w:pPr>
        <w:overflowPunct w:val="0"/>
        <w:autoSpaceDE w:val="0"/>
        <w:autoSpaceDN w:val="0"/>
        <w:adjustRightInd w:val="0"/>
        <w:snapToGrid w:val="0"/>
        <w:spacing w:line="560" w:lineRule="exact"/>
        <w:ind w:firstLine="632" w:firstLineChars="200"/>
        <w:rPr>
          <w:rFonts w:hAnsi="仿宋" w:cs="仿宋"/>
        </w:rPr>
      </w:pPr>
      <w:r>
        <w:rPr>
          <w:rFonts w:hint="eastAsia" w:ascii="楷体_GB2312" w:hAnsi="宋体" w:eastAsia="楷体_GB2312" w:cs="仿宋"/>
        </w:rPr>
        <w:t>（一）入市范围。</w:t>
      </w:r>
      <w:r>
        <w:rPr>
          <w:rFonts w:hint="eastAsia" w:hAnsi="仿宋"/>
        </w:rPr>
        <w:t>入市范围为工业、仓储、商服、旅游，不包括住宅用地和农村宅基地。</w:t>
      </w:r>
      <w:r>
        <w:rPr>
          <w:rFonts w:hint="eastAsia" w:hAnsi="仿宋" w:cs="仿宋"/>
        </w:rPr>
        <w:t>国土空间规划确定为工业、商业等经营性用途的集体建设用地，且已依法办理集体土地所有权的，具备开发建设所需基本条件的，可以直接入市。其中工矿仓储用地重点保障</w:t>
      </w:r>
      <w:bookmarkStart w:id="0" w:name="_GoBack"/>
      <w:bookmarkEnd w:id="0"/>
      <w:r>
        <w:rPr>
          <w:rFonts w:hint="eastAsia" w:hAnsi="仿宋" w:cs="仿宋"/>
          <w:lang w:eastAsia="zh-CN"/>
        </w:rPr>
        <w:t>一二三产业融合</w:t>
      </w:r>
      <w:r>
        <w:rPr>
          <w:rFonts w:hint="eastAsia" w:hAnsi="仿宋" w:cs="仿宋"/>
        </w:rPr>
        <w:t>项目。</w:t>
      </w:r>
    </w:p>
    <w:p>
      <w:pPr>
        <w:overflowPunct w:val="0"/>
        <w:autoSpaceDE w:val="0"/>
        <w:autoSpaceDN w:val="0"/>
        <w:adjustRightInd w:val="0"/>
        <w:snapToGrid w:val="0"/>
        <w:spacing w:line="560" w:lineRule="exact"/>
        <w:ind w:firstLine="632" w:firstLineChars="200"/>
        <w:rPr>
          <w:rFonts w:hAnsi="仿宋" w:cs="仿宋"/>
        </w:rPr>
      </w:pPr>
      <w:r>
        <w:rPr>
          <w:rFonts w:hint="eastAsia" w:hAnsi="仿宋" w:cs="仿宋"/>
        </w:rPr>
        <w:t>农民自愿退出后依法收回的闲置宅基地、废弃的集体公益性建设用地，经规划调整后确定为经营性用途的可以入市交易。</w:t>
      </w:r>
    </w:p>
    <w:p>
      <w:pPr>
        <w:overflowPunct w:val="0"/>
        <w:autoSpaceDE w:val="0"/>
        <w:autoSpaceDN w:val="0"/>
        <w:adjustRightInd w:val="0"/>
        <w:snapToGrid w:val="0"/>
        <w:spacing w:line="560" w:lineRule="exact"/>
        <w:ind w:firstLine="632" w:firstLineChars="200"/>
        <w:rPr>
          <w:rFonts w:hAnsi="仿宋" w:cs="仿宋"/>
        </w:rPr>
      </w:pPr>
      <w:r>
        <w:rPr>
          <w:rFonts w:hint="eastAsia" w:hAnsi="仿宋" w:cs="仿宋"/>
        </w:rPr>
        <w:t>因规划需要整体开发建设的，对存量建设用地内部或周围的零星农用地、未利用地，经办理农转用手续后，与存量建设用地合并为一宗地块入市。农用地和未利用地转用面积原则上不得超过该宗入市地块总面积的10%，且面积不超过3亩。</w:t>
      </w:r>
    </w:p>
    <w:p>
      <w:pPr>
        <w:overflowPunct w:val="0"/>
        <w:autoSpaceDE w:val="0"/>
        <w:autoSpaceDN w:val="0"/>
        <w:adjustRightInd w:val="0"/>
        <w:snapToGrid w:val="0"/>
        <w:spacing w:line="560" w:lineRule="exact"/>
        <w:ind w:firstLine="632" w:firstLineChars="200"/>
        <w:rPr>
          <w:rFonts w:hAnsi="仿宋"/>
        </w:rPr>
      </w:pPr>
      <w:r>
        <w:rPr>
          <w:rFonts w:hint="eastAsia" w:ascii="楷体_GB2312" w:hAnsi="宋体" w:eastAsia="楷体_GB2312" w:cs="仿宋"/>
        </w:rPr>
        <w:t>（二）入市主体。</w:t>
      </w:r>
      <w:r>
        <w:rPr>
          <w:rFonts w:hint="eastAsia" w:hAnsi="仿宋"/>
        </w:rPr>
        <w:t>集体经营性建设用地入市主体是行使集体经营性建设用地所有权的集体经济组织。其中属于村农民集体所有的，由村股份经济合作社实施入市；属于镇农民集体所有的，由镇资产经营公司或镇全资下属公司实施入市。</w:t>
      </w:r>
    </w:p>
    <w:p>
      <w:pPr>
        <w:overflowPunct w:val="0"/>
        <w:autoSpaceDE w:val="0"/>
        <w:autoSpaceDN w:val="0"/>
        <w:adjustRightInd w:val="0"/>
        <w:snapToGrid w:val="0"/>
        <w:spacing w:line="560" w:lineRule="exact"/>
        <w:ind w:firstLine="632" w:firstLineChars="200"/>
        <w:rPr>
          <w:rFonts w:hAnsi="仿宋"/>
        </w:rPr>
      </w:pPr>
      <w:r>
        <w:rPr>
          <w:rFonts w:hint="eastAsia" w:ascii="楷体_GB2312" w:hAnsi="宋体" w:eastAsia="楷体_GB2312" w:cs="仿宋"/>
        </w:rPr>
        <w:t>（三）入市依据。</w:t>
      </w:r>
      <w:r>
        <w:rPr>
          <w:rFonts w:hint="eastAsia" w:hAnsi="仿宋"/>
        </w:rPr>
        <w:t>城乡建设规划中确定为工业、仓储、商服、旅游等用途的农村集体建设用地，可直接按规划办理。符合其他专项规划地块，可按专项规划办理。对没有纳入规划体系地块，并已明确将入市地块具体用途等控制性指标纳入实用性村庄规划的，经区自然资源和规划部门审核并报区政府规划会议讨论同意后，可作为项目建设开发的规划依据。</w:t>
      </w:r>
    </w:p>
    <w:p>
      <w:pPr>
        <w:overflowPunct w:val="0"/>
        <w:autoSpaceDE w:val="0"/>
        <w:autoSpaceDN w:val="0"/>
        <w:adjustRightInd w:val="0"/>
        <w:snapToGrid w:val="0"/>
        <w:spacing w:line="560" w:lineRule="exact"/>
        <w:ind w:firstLine="632" w:firstLineChars="200"/>
        <w:rPr>
          <w:rFonts w:hAnsi="仿宋"/>
        </w:rPr>
      </w:pPr>
      <w:r>
        <w:rPr>
          <w:rFonts w:hint="eastAsia" w:ascii="楷体_GB2312" w:hAnsi="宋体" w:eastAsia="楷体_GB2312" w:cs="仿宋"/>
        </w:rPr>
        <w:t>（四）入市方式。</w:t>
      </w:r>
      <w:r>
        <w:rPr>
          <w:rFonts w:hint="eastAsia" w:hAnsi="仿宋"/>
        </w:rPr>
        <w:t>集体经营性建设用地方式为出让、出租两种，交易形式包括招标、拍卖、挂牌和协议，原则上采用招标、拍卖和挂牌形式交易。具体操作细则及合同签订等参照国有建设用地（经营性项目）出让方式。在省级统一建设用地使用权交易管理平台建立前，入市交易纳入区公共资源交易平台管理。其中工业、仓储用地使用权最长年限不超过50年；商服、旅游等用地不超过40年；采用出租方式的，不超过20年。</w:t>
      </w:r>
    </w:p>
    <w:p>
      <w:pPr>
        <w:overflowPunct w:val="0"/>
        <w:autoSpaceDE w:val="0"/>
        <w:autoSpaceDN w:val="0"/>
        <w:adjustRightInd w:val="0"/>
        <w:snapToGrid w:val="0"/>
        <w:spacing w:line="560" w:lineRule="exact"/>
        <w:ind w:firstLine="632" w:firstLineChars="200"/>
        <w:rPr>
          <w:rFonts w:hAnsi="仿宋"/>
        </w:rPr>
      </w:pPr>
      <w:r>
        <w:rPr>
          <w:rFonts w:hint="eastAsia" w:ascii="楷体_GB2312" w:hAnsi="宋体" w:eastAsia="楷体_GB2312" w:cs="仿宋"/>
        </w:rPr>
        <w:t>（五）入市程序</w:t>
      </w:r>
    </w:p>
    <w:p>
      <w:pPr>
        <w:overflowPunct w:val="0"/>
        <w:autoSpaceDE w:val="0"/>
        <w:autoSpaceDN w:val="0"/>
        <w:adjustRightInd w:val="0"/>
        <w:snapToGrid w:val="0"/>
        <w:spacing w:line="560" w:lineRule="exact"/>
        <w:ind w:firstLine="632" w:firstLineChars="200"/>
        <w:rPr>
          <w:rFonts w:hAnsi="仿宋"/>
        </w:rPr>
      </w:pPr>
      <w:r>
        <w:rPr>
          <w:rFonts w:hint="eastAsia" w:hAnsi="仿宋"/>
        </w:rPr>
        <w:t>1.集体经营性建设用地属村集体经济组织的，入市方案须经本集体经济组织成员的村民会议三分之二以上成员或者三分之二以上村民代表表决同意，形成《入市决议》后，按相关规定进行公示，并作为后续申请入市、拟定合同和履约监管协议的依据。</w:t>
      </w:r>
    </w:p>
    <w:p>
      <w:pPr>
        <w:overflowPunct w:val="0"/>
        <w:autoSpaceDE w:val="0"/>
        <w:autoSpaceDN w:val="0"/>
        <w:adjustRightInd w:val="0"/>
        <w:snapToGrid w:val="0"/>
        <w:spacing w:line="560" w:lineRule="exact"/>
        <w:ind w:firstLine="632" w:firstLineChars="200"/>
        <w:rPr>
          <w:rFonts w:hAnsi="仿宋"/>
        </w:rPr>
      </w:pPr>
      <w:r>
        <w:rPr>
          <w:rFonts w:hint="eastAsia" w:hAnsi="仿宋"/>
        </w:rPr>
        <w:t>2.集体经营性建设用地属于镇农民集体所有的，入市方案须经镇人民政府集体研究决定。</w:t>
      </w:r>
    </w:p>
    <w:p>
      <w:pPr>
        <w:overflowPunct w:val="0"/>
        <w:autoSpaceDE w:val="0"/>
        <w:autoSpaceDN w:val="0"/>
        <w:adjustRightInd w:val="0"/>
        <w:snapToGrid w:val="0"/>
        <w:spacing w:line="560" w:lineRule="exact"/>
        <w:ind w:firstLine="632" w:firstLineChars="200"/>
        <w:rPr>
          <w:rFonts w:hAnsi="仿宋"/>
        </w:rPr>
      </w:pPr>
      <w:r>
        <w:rPr>
          <w:rFonts w:hint="eastAsia" w:hAnsi="仿宋"/>
        </w:rPr>
        <w:t>3.入市方案应明确拟入市宗地的土地界址、面积、使用年限、土地用途、规划条件、产业类型、开竣工时间、建设期限、用地指标、交易方式、入市价格、竞买保证金、收益分配办法、入市双方权利义务及违约责任、期限届满时集体经营性建设用地使用权及地上建筑物的处理办法等内容。区级相关部门应当为入市主体编制入市方案提供便利，就涉及政策规定予以解释说明、审核把关。</w:t>
      </w:r>
    </w:p>
    <w:p>
      <w:pPr>
        <w:pStyle w:val="5"/>
        <w:spacing w:line="560" w:lineRule="exact"/>
        <w:ind w:firstLine="632" w:firstLineChars="200"/>
        <w:rPr>
          <w:rFonts w:ascii="仿宋_GB2312" w:hAnsi="仿宋" w:eastAsia="仿宋_GB2312"/>
          <w:sz w:val="32"/>
          <w:szCs w:val="32"/>
        </w:rPr>
      </w:pPr>
      <w:r>
        <w:rPr>
          <w:rFonts w:hint="eastAsia" w:ascii="楷体_GB2312" w:hAnsi="仿宋" w:eastAsia="楷体_GB2312" w:cs="仿宋_GB2312"/>
          <w:sz w:val="32"/>
          <w:szCs w:val="32"/>
        </w:rPr>
        <w:t>（六）</w:t>
      </w:r>
      <w:r>
        <w:rPr>
          <w:rFonts w:hint="eastAsia" w:ascii="楷体_GB2312" w:hAnsi="仿宋" w:eastAsia="楷体_GB2312"/>
          <w:sz w:val="32"/>
          <w:szCs w:val="32"/>
        </w:rPr>
        <w:t>入市价格。</w:t>
      </w:r>
      <w:r>
        <w:rPr>
          <w:rFonts w:hint="eastAsia" w:ascii="仿宋_GB2312" w:hAnsi="仿宋" w:eastAsia="仿宋_GB2312"/>
          <w:sz w:val="32"/>
          <w:szCs w:val="32"/>
        </w:rPr>
        <w:t>集体经营性建设用地入市地价须经有资质的评估机构评估,地价评估报告须报自然资源规划部门备案。集体经济组织可根据评估价确定起始价，最低不得低于评估价的80%。</w:t>
      </w:r>
    </w:p>
    <w:p>
      <w:pPr>
        <w:pStyle w:val="5"/>
        <w:spacing w:line="560" w:lineRule="exact"/>
        <w:ind w:firstLine="632" w:firstLineChars="200"/>
        <w:rPr>
          <w:rFonts w:ascii="仿宋_GB2312" w:hAnsi="仿宋" w:eastAsia="仿宋_GB2312"/>
          <w:sz w:val="32"/>
          <w:szCs w:val="32"/>
        </w:rPr>
      </w:pPr>
      <w:r>
        <w:rPr>
          <w:rFonts w:hint="eastAsia" w:ascii="仿宋_GB2312" w:hAnsi="仿宋" w:eastAsia="仿宋_GB2312"/>
          <w:sz w:val="32"/>
          <w:szCs w:val="32"/>
        </w:rPr>
        <w:t>集体经营性建设用地入市实行与城镇国有建设用地统一的基准地价体系，统一的基准地价体系建立前，参照国有建设用地基准地价体系执行。</w:t>
      </w:r>
    </w:p>
    <w:p>
      <w:pPr>
        <w:spacing w:line="560" w:lineRule="exact"/>
        <w:ind w:firstLine="632" w:firstLineChars="200"/>
        <w:jc w:val="left"/>
        <w:rPr>
          <w:rFonts w:ascii="楷体_GB2312" w:hAnsi="仿宋" w:eastAsia="楷体_GB2312"/>
        </w:rPr>
      </w:pPr>
      <w:r>
        <w:rPr>
          <w:rFonts w:hint="eastAsia" w:ascii="楷体_GB2312" w:hAnsi="仿宋" w:eastAsia="楷体_GB2312"/>
        </w:rPr>
        <w:t>（七）收益分配</w:t>
      </w:r>
    </w:p>
    <w:p>
      <w:pPr>
        <w:spacing w:line="560" w:lineRule="exact"/>
        <w:ind w:firstLine="632" w:firstLineChars="200"/>
        <w:jc w:val="left"/>
        <w:rPr>
          <w:rFonts w:hAnsi="仿宋" w:cs="仿宋"/>
        </w:rPr>
      </w:pPr>
      <w:r>
        <w:rPr>
          <w:rFonts w:hint="eastAsia" w:hAnsi="仿宋"/>
        </w:rPr>
        <w:t>1.规范农民集体内部使用。村级集体经济组织获得的入市收益，归</w:t>
      </w:r>
      <w:r>
        <w:rPr>
          <w:rFonts w:hint="eastAsia" w:ascii="楷体_GB2312" w:hAnsi="仿宋" w:eastAsia="楷体_GB2312"/>
        </w:rPr>
        <w:t>村级</w:t>
      </w:r>
      <w:r>
        <w:rPr>
          <w:rFonts w:hint="eastAsia" w:hAnsi="仿宋"/>
        </w:rPr>
        <w:t>集体经济组织所有。入市收益的使用，应按照</w:t>
      </w:r>
      <w:r>
        <w:rPr>
          <w:rFonts w:hint="eastAsia" w:hAnsi="仿宋" w:cs="仿宋"/>
        </w:rPr>
        <w:t>《浙江省农村集体资产管理条例》有关规定，依法履行民主决策程序。集体内部使用入市收益时，应当兼顾集体和成员个人利益，建立集体经营性用地入市失地农民社会保障机制，壮大集体经济。具体管理办法由区农业农村主管部门根据省农业农村主管部门规定负责制定。</w:t>
      </w:r>
    </w:p>
    <w:p>
      <w:pPr>
        <w:spacing w:line="560" w:lineRule="exact"/>
        <w:ind w:firstLine="632" w:firstLineChars="200"/>
        <w:jc w:val="left"/>
        <w:rPr>
          <w:rFonts w:hAnsi="仿宋" w:cs="仿宋"/>
        </w:rPr>
      </w:pPr>
      <w:r>
        <w:rPr>
          <w:rFonts w:hint="eastAsia" w:hAnsi="仿宋"/>
        </w:rPr>
        <w:t>2.规范土地增值收益管理。集体经营性建设用地入市，应承担相应的基础设施建设等开发成本，以缴纳土地增值收益调节金的方式履行相应义务。土地增值收益调节金原则上不高于合同总价款的20%，具体操作办法待上级相关规定出台后另行制定。</w:t>
      </w:r>
    </w:p>
    <w:p>
      <w:pPr>
        <w:spacing w:line="560" w:lineRule="exact"/>
        <w:ind w:firstLine="632" w:firstLineChars="200"/>
        <w:jc w:val="left"/>
        <w:rPr>
          <w:rFonts w:hAnsi="仿宋"/>
        </w:rPr>
      </w:pPr>
      <w:r>
        <w:rPr>
          <w:rFonts w:hint="eastAsia" w:ascii="楷体_GB2312" w:hAnsi="仿宋" w:eastAsia="楷体_GB2312"/>
        </w:rPr>
        <w:t>（八）后续管理。</w:t>
      </w:r>
      <w:r>
        <w:rPr>
          <w:rFonts w:hint="eastAsia" w:hAnsi="仿宋" w:cs="黑体"/>
          <w:kern w:val="0"/>
        </w:rPr>
        <w:t>区发改局、区经商局、区住建局、区农水局、区资规分局、区生态环境分局等相关部门应各司其职加强对集体经营性建设用地开发利用情况的监督管理，按照“谁提出、谁监管”原则，</w:t>
      </w:r>
      <w:r>
        <w:rPr>
          <w:rFonts w:hint="eastAsia" w:hAnsi="仿宋"/>
        </w:rPr>
        <w:t>对投资强度、准入产业类别、建设标准和用地面积、规划条件验收、环境保护等实施监督管理。</w:t>
      </w:r>
    </w:p>
    <w:p>
      <w:pPr>
        <w:spacing w:line="560" w:lineRule="exact"/>
        <w:ind w:firstLine="632" w:firstLineChars="200"/>
        <w:rPr>
          <w:rFonts w:hAnsi="仿宋" w:cs="黑体"/>
          <w:kern w:val="0"/>
        </w:rPr>
      </w:pPr>
      <w:r>
        <w:rPr>
          <w:rFonts w:hint="eastAsia" w:hAnsi="仿宋"/>
        </w:rPr>
        <w:t>依法取得集体经营性建设用地的使用权人，应按照法律法规有关规定和土地出让（租赁）合同确定的开发期限、土地用途及相关土地使用条件开发利用土地，</w:t>
      </w:r>
      <w:r>
        <w:rPr>
          <w:rFonts w:hint="eastAsia" w:hAnsi="仿宋" w:cs="黑体"/>
          <w:kern w:val="0"/>
        </w:rPr>
        <w:t>科学合理开发和利用土地，不得损害国家、集体和其他人的利益。</w:t>
      </w:r>
    </w:p>
    <w:p>
      <w:pPr>
        <w:spacing w:line="560" w:lineRule="exact"/>
        <w:ind w:firstLine="632" w:firstLineChars="200"/>
        <w:rPr>
          <w:rFonts w:hAnsi="仿宋" w:cs="黑体"/>
          <w:kern w:val="0"/>
        </w:rPr>
      </w:pPr>
      <w:r>
        <w:rPr>
          <w:rFonts w:hint="eastAsia" w:hAnsi="仿宋" w:cs="黑体"/>
          <w:kern w:val="0"/>
        </w:rPr>
        <w:t>《合同》签订后，因开发者自身原因造成项目开竣工违约的,严格按照合同约定追究违约责任；造成土地闲置的，参照《闲置土地处置办法》（国土资源部53号令）处置。</w:t>
      </w:r>
    </w:p>
    <w:p>
      <w:pPr>
        <w:pStyle w:val="5"/>
        <w:spacing w:line="560" w:lineRule="exact"/>
        <w:ind w:firstLine="632" w:firstLineChars="200"/>
        <w:rPr>
          <w:rFonts w:ascii="仿宋_GB2312" w:hAnsi="仿宋" w:eastAsia="仿宋_GB2312" w:cs="仿宋_GB2312"/>
          <w:sz w:val="32"/>
          <w:szCs w:val="32"/>
        </w:rPr>
      </w:pPr>
      <w:r>
        <w:rPr>
          <w:rFonts w:hint="eastAsia" w:ascii="仿宋_GB2312" w:hAnsi="仿宋" w:eastAsia="仿宋_GB2312" w:cs="仿宋_GB2312"/>
          <w:sz w:val="32"/>
          <w:szCs w:val="32"/>
        </w:rPr>
        <w:t>有下列情形之一的，有关部门不得办理集体经营性建设用地使用权转让手续：</w:t>
      </w:r>
    </w:p>
    <w:p>
      <w:pPr>
        <w:pStyle w:val="5"/>
        <w:spacing w:line="560" w:lineRule="exact"/>
        <w:ind w:firstLine="632" w:firstLineChars="200"/>
        <w:rPr>
          <w:rFonts w:ascii="仿宋_GB2312" w:hAnsi="仿宋" w:eastAsia="仿宋_GB2312" w:cs="仿宋_GB2312"/>
          <w:sz w:val="32"/>
          <w:szCs w:val="32"/>
        </w:rPr>
      </w:pPr>
      <w:r>
        <w:rPr>
          <w:rFonts w:hint="eastAsia" w:ascii="仿宋_GB2312" w:hAnsi="仿宋" w:eastAsia="仿宋_GB2312" w:cs="仿宋_GB2312"/>
          <w:sz w:val="32"/>
          <w:szCs w:val="32"/>
        </w:rPr>
        <w:t>（一）集体经营性建设用地使用者不按照批准的用途和规划条件擅自使用土地的；</w:t>
      </w:r>
    </w:p>
    <w:p>
      <w:pPr>
        <w:pStyle w:val="5"/>
        <w:spacing w:line="560" w:lineRule="exact"/>
        <w:ind w:firstLine="632" w:firstLineChars="200"/>
        <w:rPr>
          <w:rFonts w:ascii="仿宋_GB2312" w:hAnsi="仿宋" w:eastAsia="仿宋_GB2312" w:cs="仿宋_GB2312"/>
          <w:sz w:val="32"/>
          <w:szCs w:val="32"/>
        </w:rPr>
      </w:pPr>
      <w:r>
        <w:rPr>
          <w:rFonts w:hint="eastAsia" w:ascii="仿宋_GB2312" w:hAnsi="仿宋" w:eastAsia="仿宋_GB2312" w:cs="仿宋_GB2312"/>
          <w:sz w:val="32"/>
          <w:szCs w:val="32"/>
        </w:rPr>
        <w:t>（二）集体经营性建设用地使用者开发总面积不足三分之一或已投资额占总投资额不足百分之二十五的。</w:t>
      </w:r>
    </w:p>
    <w:p>
      <w:pPr>
        <w:overflowPunct w:val="0"/>
        <w:autoSpaceDE w:val="0"/>
        <w:autoSpaceDN w:val="0"/>
        <w:adjustRightInd w:val="0"/>
        <w:snapToGrid w:val="0"/>
        <w:spacing w:line="560" w:lineRule="exact"/>
        <w:ind w:firstLine="632" w:firstLineChars="200"/>
        <w:rPr>
          <w:rFonts w:hAnsi="仿宋"/>
        </w:rPr>
      </w:pPr>
      <w:r>
        <w:rPr>
          <w:rFonts w:hint="eastAsia" w:hAnsi="仿宋"/>
        </w:rPr>
        <w:t>依法取得的集体经营性建设用地使用权，在使用期限内可以转让、出租、抵押。</w:t>
      </w:r>
    </w:p>
    <w:p>
      <w:pPr>
        <w:overflowPunct w:val="0"/>
        <w:autoSpaceDE w:val="0"/>
        <w:autoSpaceDN w:val="0"/>
        <w:adjustRightInd w:val="0"/>
        <w:snapToGrid w:val="0"/>
        <w:spacing w:line="560" w:lineRule="exact"/>
        <w:ind w:firstLine="632" w:firstLineChars="200"/>
        <w:rPr>
          <w:rFonts w:hAnsi="仿宋"/>
        </w:rPr>
      </w:pPr>
      <w:r>
        <w:rPr>
          <w:rFonts w:hint="eastAsia" w:hAnsi="仿宋"/>
        </w:rPr>
        <w:t>以租赁方式取得的集体经营性建设用地使用权抵押的，其抵押最高期限不得超过租赁期限，抵押登记时应当注明租赁土地的租赁期限和租金交纳情况。</w:t>
      </w:r>
    </w:p>
    <w:p>
      <w:pPr>
        <w:spacing w:line="560" w:lineRule="exact"/>
        <w:ind w:firstLine="632" w:firstLineChars="200"/>
        <w:rPr>
          <w:rFonts w:ascii="黑体" w:hAnsi="黑体" w:eastAsia="黑体" w:cs="仿宋"/>
        </w:rPr>
      </w:pPr>
      <w:r>
        <w:rPr>
          <w:rFonts w:hint="eastAsia" w:ascii="黑体" w:hAnsi="黑体" w:eastAsia="黑体" w:cs="仿宋"/>
        </w:rPr>
        <w:t>三、工作步骤</w:t>
      </w:r>
    </w:p>
    <w:p>
      <w:pPr>
        <w:spacing w:line="560" w:lineRule="exact"/>
        <w:ind w:firstLine="632" w:firstLineChars="200"/>
        <w:rPr>
          <w:rFonts w:ascii="楷体_GB2312" w:hAnsi="仿宋" w:eastAsia="楷体_GB2312"/>
        </w:rPr>
      </w:pPr>
      <w:r>
        <w:rPr>
          <w:rFonts w:hint="eastAsia" w:ascii="楷体_GB2312" w:hAnsi="仿宋" w:eastAsia="楷体_GB2312"/>
        </w:rPr>
        <w:t>（一）试点阶段（2021-2022年）</w:t>
      </w:r>
    </w:p>
    <w:p>
      <w:pPr>
        <w:spacing w:line="560" w:lineRule="exact"/>
        <w:ind w:firstLine="632" w:firstLineChars="200"/>
        <w:rPr>
          <w:rFonts w:hAnsi="仿宋" w:cs="仿宋"/>
        </w:rPr>
      </w:pPr>
      <w:r>
        <w:rPr>
          <w:rFonts w:hint="eastAsia" w:hAnsi="仿宋" w:cs="仿宋"/>
        </w:rPr>
        <w:t>1.调查摸底。选择2-5个行政村试点，完成现状调查分析，全面掌握村级集体经营性建设用地分布，宗地界址，开展权属调查、登记确权工作。</w:t>
      </w:r>
    </w:p>
    <w:p>
      <w:pPr>
        <w:spacing w:line="560" w:lineRule="exact"/>
        <w:ind w:firstLine="632" w:firstLineChars="200"/>
        <w:rPr>
          <w:rFonts w:hAnsi="仿宋" w:cs="仿宋"/>
        </w:rPr>
      </w:pPr>
      <w:r>
        <w:rPr>
          <w:rFonts w:hint="eastAsia" w:hAnsi="仿宋" w:cs="仿宋"/>
        </w:rPr>
        <w:t>2.编制规划。根据区全域土地整治规划的要求，结合乡村振兴等各类专项规划，加快试点村实用性村庄规划修编工作，对集体经营性建设用地进行定量和定位，为实施集体经营性建设用地入市工作打好基础。</w:t>
      </w:r>
    </w:p>
    <w:p>
      <w:pPr>
        <w:pStyle w:val="12"/>
        <w:shd w:val="clear" w:color="auto" w:fill="FFFFFF"/>
        <w:spacing w:beforeAutospacing="0" w:afterAutospacing="0" w:line="560" w:lineRule="exact"/>
        <w:ind w:firstLine="632" w:firstLineChars="200"/>
        <w:rPr>
          <w:rFonts w:ascii="仿宋_GB2312" w:hAnsi="仿宋" w:cs="仿宋"/>
          <w:sz w:val="32"/>
          <w:szCs w:val="32"/>
        </w:rPr>
      </w:pPr>
      <w:r>
        <w:rPr>
          <w:rFonts w:hint="eastAsia" w:ascii="仿宋_GB2312" w:hAnsi="仿宋" w:cs="仿宋"/>
          <w:sz w:val="32"/>
          <w:szCs w:val="32"/>
        </w:rPr>
        <w:t>3.制定政策。各相关部门各司其职，制定完善集体建设用地使用权出让、地价管理、土地增值收益调节金征收和使用规定、入市收益分配管理规定、集体经营性建设用地使用权抵押贷款等配套政策文件。</w:t>
      </w:r>
    </w:p>
    <w:p>
      <w:pPr>
        <w:pStyle w:val="12"/>
        <w:shd w:val="clear" w:color="auto" w:fill="FFFFFF"/>
        <w:spacing w:beforeAutospacing="0" w:afterAutospacing="0" w:line="560" w:lineRule="exact"/>
        <w:ind w:firstLine="632" w:firstLineChars="200"/>
        <w:rPr>
          <w:rFonts w:ascii="仿宋_GB2312" w:hAnsi="仿宋" w:cs="仿宋"/>
          <w:sz w:val="32"/>
          <w:szCs w:val="32"/>
        </w:rPr>
      </w:pPr>
      <w:r>
        <w:rPr>
          <w:rFonts w:hint="eastAsia" w:ascii="仿宋_GB2312" w:hAnsi="仿宋" w:cs="仿宋"/>
          <w:sz w:val="32"/>
          <w:szCs w:val="32"/>
        </w:rPr>
        <w:t>4.入市交易。明确集体经营性建设用地使用权交易平台，规范集体经营性建设用地使用权入市交易行为。</w:t>
      </w:r>
    </w:p>
    <w:p>
      <w:pPr>
        <w:pStyle w:val="12"/>
        <w:shd w:val="clear" w:color="auto" w:fill="FFFFFF"/>
        <w:spacing w:beforeAutospacing="0" w:afterAutospacing="0" w:line="560" w:lineRule="exact"/>
        <w:ind w:firstLine="632" w:firstLineChars="200"/>
        <w:rPr>
          <w:rFonts w:ascii="楷体_GB2312" w:hAnsi="仿宋" w:eastAsia="楷体_GB2312"/>
          <w:sz w:val="32"/>
          <w:szCs w:val="32"/>
        </w:rPr>
      </w:pPr>
      <w:r>
        <w:rPr>
          <w:rFonts w:hint="eastAsia" w:ascii="楷体_GB2312" w:hAnsi="仿宋" w:eastAsia="楷体_GB2312"/>
          <w:sz w:val="32"/>
          <w:szCs w:val="32"/>
        </w:rPr>
        <w:t>（二）推进阶段（2023-2025年）</w:t>
      </w:r>
    </w:p>
    <w:p>
      <w:pPr>
        <w:adjustRightInd w:val="0"/>
        <w:snapToGrid w:val="0"/>
        <w:spacing w:line="560" w:lineRule="exact"/>
        <w:ind w:firstLine="632" w:firstLineChars="200"/>
        <w:rPr>
          <w:rFonts w:hAnsi="仿宋" w:cs="仿宋"/>
          <w:kern w:val="0"/>
        </w:rPr>
      </w:pPr>
      <w:r>
        <w:rPr>
          <w:rFonts w:hint="eastAsia" w:hAnsi="仿宋" w:cs="仿宋"/>
          <w:kern w:val="0"/>
        </w:rPr>
        <w:t>1.上下联动、稳妥有序。按照 “试点先行、改革联动、稳妥有序推进”的原则，区级各相关职能部门要精准施策，定目标、明举措、抓落实，推进集体经营性建设用地入市工作。</w:t>
      </w:r>
    </w:p>
    <w:p>
      <w:pPr>
        <w:spacing w:line="560" w:lineRule="exact"/>
        <w:ind w:firstLine="632" w:firstLineChars="200"/>
        <w:rPr>
          <w:rFonts w:hAnsi="仿宋" w:cs="仿宋"/>
          <w:kern w:val="0"/>
        </w:rPr>
      </w:pPr>
      <w:r>
        <w:rPr>
          <w:rFonts w:hint="eastAsia" w:hAnsi="仿宋" w:cs="仿宋"/>
          <w:kern w:val="0"/>
        </w:rPr>
        <w:t>2.定期评估、逐步完善。实行改革试点年度评估制度，及时总结完善试点经验，逐步构建城乡统一的集体经营性建设用地入市规则体系以及收益分配制度，形成可复制、可借鉴、可推广的经验和模式，建立集体经营性建设用地入市长效制度。</w:t>
      </w:r>
    </w:p>
    <w:p>
      <w:pPr>
        <w:spacing w:line="560" w:lineRule="exact"/>
        <w:ind w:firstLine="632" w:firstLineChars="200"/>
        <w:rPr>
          <w:rFonts w:ascii="黑体" w:hAnsi="黑体" w:eastAsia="黑体" w:cs="仿宋"/>
        </w:rPr>
      </w:pPr>
      <w:r>
        <w:rPr>
          <w:rFonts w:hint="eastAsia" w:ascii="黑体" w:hAnsi="黑体" w:eastAsia="黑体" w:cs="仿宋"/>
        </w:rPr>
        <w:t>四、组织保障</w:t>
      </w:r>
    </w:p>
    <w:p>
      <w:pPr>
        <w:tabs>
          <w:tab w:val="left" w:pos="567"/>
        </w:tabs>
        <w:snapToGrid w:val="0"/>
        <w:spacing w:line="560" w:lineRule="exact"/>
        <w:ind w:firstLine="632" w:firstLineChars="200"/>
        <w:jc w:val="left"/>
        <w:textAlignment w:val="baseline"/>
        <w:rPr>
          <w:rFonts w:hAnsi="仿宋" w:cs="仿宋"/>
          <w:kern w:val="0"/>
        </w:rPr>
      </w:pPr>
      <w:r>
        <w:rPr>
          <w:rFonts w:hint="eastAsia" w:ascii="楷体_GB2312" w:hAnsi="仿宋" w:eastAsia="楷体_GB2312"/>
        </w:rPr>
        <w:t>（一）加强组织领导。</w:t>
      </w:r>
      <w:r>
        <w:rPr>
          <w:rFonts w:hint="eastAsia" w:hAnsi="仿宋" w:cs="仿宋"/>
        </w:rPr>
        <w:t>成立由区长担任组长，分管副区长任副组长，区政府办、区发改局、区经商局、区财政局、区住建局、区农水局、区资规分局、区生态环境分局等部门主要领导和各镇人民政府主要领导为成员的秀洲区集体经营性建设用地入市工作领导小组。领导小组下设办公室，办公室设在区资规分局，负责统筹协调试点工作</w:t>
      </w:r>
      <w:r>
        <w:rPr>
          <w:rFonts w:hint="eastAsia" w:hAnsi="仿宋" w:cs="仿宋"/>
          <w:kern w:val="0"/>
        </w:rPr>
        <w:t>。</w:t>
      </w:r>
    </w:p>
    <w:p>
      <w:pPr>
        <w:spacing w:line="560" w:lineRule="exact"/>
        <w:ind w:firstLine="632" w:firstLineChars="200"/>
        <w:rPr>
          <w:rFonts w:hAnsi="仿宋" w:cs="仿宋"/>
        </w:rPr>
      </w:pPr>
      <w:r>
        <w:rPr>
          <w:rFonts w:hint="eastAsia" w:ascii="楷体_GB2312" w:hAnsi="仿宋" w:eastAsia="楷体_GB2312"/>
        </w:rPr>
        <w:t>（二）明确职责分工。</w:t>
      </w:r>
      <w:r>
        <w:rPr>
          <w:rFonts w:hint="eastAsia" w:hAnsi="仿宋" w:cs="仿宋"/>
        </w:rPr>
        <w:t>各镇负责具体地块的入市工作，负责指导村级组织土地民主管理的各项工作；区自然资源和规划分局负责村级土地利用总体规划和村庄布点规划的调整完善、编制实用性村庄规划、开展土地现状调查和确权登记颁证、基准地价评估和土地入市、后续监管等工作；区发改局负责服务业项目的准入和监管；区农业农村和水利部门牵头产业定位及准入评估办法并组</w:t>
      </w:r>
      <w:r>
        <w:rPr>
          <w:rFonts w:hint="eastAsia" w:hAnsi="仿宋" w:cs="仿宋"/>
          <w:spacing w:val="-6"/>
        </w:rPr>
        <w:t>织实施，制定村级集体入市收益的管理办法；区财政局、</w:t>
      </w:r>
      <w:r>
        <w:rPr>
          <w:rFonts w:hint="eastAsia" w:hAnsi="仿宋" w:cs="仿宋"/>
        </w:rPr>
        <w:t>区农水局、区税务局、</w:t>
      </w:r>
      <w:r>
        <w:rPr>
          <w:rFonts w:hint="eastAsia" w:hAnsi="仿宋" w:cs="仿宋"/>
          <w:spacing w:val="-6"/>
        </w:rPr>
        <w:t>区</w:t>
      </w:r>
      <w:r>
        <w:rPr>
          <w:rFonts w:hint="eastAsia" w:hAnsi="仿宋" w:cs="仿宋"/>
        </w:rPr>
        <w:t>资规分局等部门负责土地增值收益调节金征收、入库、使用管理等具体办法的制定</w:t>
      </w:r>
      <w:r>
        <w:rPr>
          <w:rFonts w:hint="eastAsia" w:hAnsi="仿宋" w:cs="仿宋"/>
          <w:spacing w:val="-6"/>
        </w:rPr>
        <w:t>。</w:t>
      </w:r>
    </w:p>
    <w:p>
      <w:pPr>
        <w:adjustRightInd w:val="0"/>
        <w:snapToGrid w:val="0"/>
        <w:spacing w:line="560" w:lineRule="exact"/>
        <w:ind w:firstLine="632" w:firstLineChars="200"/>
        <w:rPr>
          <w:rFonts w:hAnsi="仿宋"/>
          <w:b/>
          <w:sz w:val="30"/>
          <w:szCs w:val="30"/>
        </w:rPr>
      </w:pPr>
      <w:r>
        <w:rPr>
          <w:rFonts w:hint="eastAsia" w:ascii="楷体_GB2312" w:hAnsi="仿宋" w:eastAsia="楷体_GB2312"/>
        </w:rPr>
        <w:t>(三)强化指导督查。</w:t>
      </w:r>
      <w:r>
        <w:rPr>
          <w:rFonts w:hint="eastAsia" w:hAnsi="仿宋" w:cs="仿宋"/>
        </w:rPr>
        <w:t>区级各责任部门要各司其职，各负其责，密切配合，协同推进，共同完善政策体系，加大政策落实力度。区集体经营性建设用地入市工作领导小组办公室要加大协调指导力度，不定期召开工作例会，及时发现问题、研究问题、解决问题，定期通报工作进展，及时总结工作经验，不断完善集体经营性建设用地入市各项体制机制。</w:t>
      </w:r>
    </w:p>
    <w:p>
      <w:pPr>
        <w:jc w:val="center"/>
        <w:rPr>
          <w:rFonts w:cs="Times New Roman"/>
        </w:rPr>
      </w:pPr>
    </w:p>
    <w:p>
      <w:pPr>
        <w:jc w:val="center"/>
        <w:rPr>
          <w:rFonts w:cs="Times New Roman"/>
        </w:rPr>
      </w:pPr>
    </w:p>
    <w:p>
      <w:pPr>
        <w:jc w:val="center"/>
        <w:rPr>
          <w:rFonts w:cs="Times New Roman"/>
        </w:rPr>
      </w:pPr>
      <w:r>
        <w:rPr>
          <w:rFonts w:cs="Times New Roman"/>
        </w:rPr>
        <w:t xml:space="preserve"> </w:t>
      </w:r>
    </w:p>
    <w:tbl>
      <w:tblPr>
        <w:tblStyle w:val="13"/>
        <w:tblpPr w:leftFromText="180" w:rightFromText="180" w:vertAnchor="text" w:horzAnchor="margin" w:tblpY="857"/>
        <w:tblW w:w="9102" w:type="dxa"/>
        <w:tblInd w:w="0" w:type="dxa"/>
        <w:tblLayout w:type="fixed"/>
        <w:tblCellMar>
          <w:top w:w="0" w:type="dxa"/>
          <w:left w:w="102" w:type="dxa"/>
          <w:bottom w:w="0" w:type="dxa"/>
          <w:right w:w="102" w:type="dxa"/>
        </w:tblCellMar>
      </w:tblPr>
      <w:tblGrid>
        <w:gridCol w:w="810"/>
        <w:gridCol w:w="3243"/>
        <w:gridCol w:w="4818"/>
        <w:gridCol w:w="231"/>
      </w:tblGrid>
      <w:tr>
        <w:tblPrEx>
          <w:tblCellMar>
            <w:top w:w="0" w:type="dxa"/>
            <w:left w:w="102" w:type="dxa"/>
            <w:bottom w:w="0" w:type="dxa"/>
            <w:right w:w="102" w:type="dxa"/>
          </w:tblCellMar>
        </w:tblPrEx>
        <w:trPr>
          <w:cantSplit/>
          <w:trHeight w:val="542" w:hRule="atLeast"/>
        </w:trPr>
        <w:tc>
          <w:tcPr>
            <w:tcW w:w="8871" w:type="dxa"/>
            <w:gridSpan w:val="3"/>
            <w:tcBorders>
              <w:top w:val="single" w:color="auto" w:sz="12" w:space="0"/>
              <w:left w:val="nil"/>
              <w:bottom w:val="nil"/>
              <w:right w:val="nil"/>
            </w:tcBorders>
            <w:vAlign w:val="center"/>
          </w:tcPr>
          <w:p>
            <w:pPr>
              <w:spacing w:line="400" w:lineRule="exact"/>
              <w:rPr>
                <w:rFonts w:ascii="宋体" w:eastAsia="宋体" w:cs="宋体"/>
                <w:sz w:val="28"/>
                <w:szCs w:val="28"/>
              </w:rPr>
            </w:pPr>
            <w:r>
              <w:rPr>
                <w:rFonts w:hint="eastAsia"/>
                <w:spacing w:val="-10"/>
                <w:sz w:val="28"/>
                <w:szCs w:val="28"/>
              </w:rPr>
              <w:t>抄送：</w:t>
            </w:r>
            <w:r>
              <w:rPr>
                <w:rFonts w:hint="eastAsia"/>
                <w:sz w:val="28"/>
                <w:szCs w:val="28"/>
                <w:lang w:val="ru-RU"/>
              </w:rPr>
              <w:t>区委各部门，区人大办，区政协办，区纪委、区监委，区人武部，</w:t>
            </w:r>
          </w:p>
        </w:tc>
        <w:tc>
          <w:tcPr>
            <w:tcW w:w="231" w:type="dxa"/>
            <w:tcBorders>
              <w:top w:val="single" w:color="auto" w:sz="12" w:space="0"/>
              <w:left w:val="nil"/>
              <w:bottom w:val="nil"/>
              <w:right w:val="nil"/>
            </w:tcBorders>
            <w:vAlign w:val="center"/>
          </w:tcPr>
          <w:p>
            <w:pPr>
              <w:spacing w:line="400" w:lineRule="exact"/>
              <w:rPr>
                <w:rFonts w:ascii="宋体" w:eastAsia="宋体" w:cs="宋体"/>
                <w:sz w:val="28"/>
                <w:szCs w:val="28"/>
              </w:rPr>
            </w:pPr>
          </w:p>
        </w:tc>
      </w:tr>
      <w:tr>
        <w:tblPrEx>
          <w:tblCellMar>
            <w:top w:w="0" w:type="dxa"/>
            <w:left w:w="102" w:type="dxa"/>
            <w:bottom w:w="0" w:type="dxa"/>
            <w:right w:w="102" w:type="dxa"/>
          </w:tblCellMar>
        </w:tblPrEx>
        <w:trPr>
          <w:cantSplit/>
          <w:trHeight w:val="488" w:hRule="atLeast"/>
        </w:trPr>
        <w:tc>
          <w:tcPr>
            <w:tcW w:w="810" w:type="dxa"/>
            <w:tcBorders>
              <w:top w:val="nil"/>
              <w:left w:val="nil"/>
              <w:bottom w:val="single" w:color="auto" w:sz="6" w:space="0"/>
              <w:right w:val="nil"/>
            </w:tcBorders>
            <w:vAlign w:val="center"/>
          </w:tcPr>
          <w:p>
            <w:pPr>
              <w:spacing w:line="400" w:lineRule="exact"/>
              <w:rPr>
                <w:spacing w:val="-10"/>
                <w:sz w:val="28"/>
                <w:szCs w:val="28"/>
              </w:rPr>
            </w:pPr>
          </w:p>
        </w:tc>
        <w:tc>
          <w:tcPr>
            <w:tcW w:w="8061" w:type="dxa"/>
            <w:gridSpan w:val="2"/>
            <w:tcBorders>
              <w:top w:val="nil"/>
              <w:left w:val="nil"/>
              <w:bottom w:val="single" w:color="auto" w:sz="6" w:space="0"/>
              <w:right w:val="nil"/>
            </w:tcBorders>
            <w:vAlign w:val="center"/>
          </w:tcPr>
          <w:p>
            <w:pPr>
              <w:spacing w:line="400" w:lineRule="exact"/>
              <w:rPr>
                <w:sz w:val="28"/>
                <w:szCs w:val="28"/>
                <w:lang w:val="ru-RU"/>
              </w:rPr>
            </w:pPr>
            <w:r>
              <w:rPr>
                <w:rFonts w:hint="eastAsia"/>
                <w:sz w:val="28"/>
                <w:szCs w:val="28"/>
                <w:lang w:val="ru-RU"/>
              </w:rPr>
              <w:t>区法院，区检察院。</w:t>
            </w:r>
          </w:p>
        </w:tc>
        <w:tc>
          <w:tcPr>
            <w:tcW w:w="231" w:type="dxa"/>
            <w:tcBorders>
              <w:top w:val="nil"/>
              <w:left w:val="nil"/>
              <w:bottom w:val="single" w:color="auto" w:sz="6" w:space="0"/>
              <w:right w:val="nil"/>
            </w:tcBorders>
            <w:vAlign w:val="center"/>
          </w:tcPr>
          <w:p>
            <w:pPr>
              <w:spacing w:line="400" w:lineRule="exact"/>
              <w:rPr>
                <w:rFonts w:ascii="宋体" w:eastAsia="宋体" w:cs="宋体"/>
                <w:sz w:val="28"/>
                <w:szCs w:val="28"/>
                <w:lang w:val="ru-RU"/>
              </w:rPr>
            </w:pPr>
          </w:p>
        </w:tc>
      </w:tr>
      <w:tr>
        <w:tblPrEx>
          <w:tblCellMar>
            <w:top w:w="0" w:type="dxa"/>
            <w:left w:w="102" w:type="dxa"/>
            <w:bottom w:w="0" w:type="dxa"/>
            <w:right w:w="102" w:type="dxa"/>
          </w:tblCellMar>
        </w:tblPrEx>
        <w:trPr>
          <w:trHeight w:val="487" w:hRule="atLeast"/>
        </w:trPr>
        <w:tc>
          <w:tcPr>
            <w:tcW w:w="4053" w:type="dxa"/>
            <w:gridSpan w:val="2"/>
            <w:tcBorders>
              <w:top w:val="single" w:color="auto" w:sz="6" w:space="0"/>
              <w:left w:val="nil"/>
              <w:bottom w:val="single" w:color="auto" w:sz="12" w:space="0"/>
              <w:right w:val="nil"/>
            </w:tcBorders>
            <w:vAlign w:val="center"/>
          </w:tcPr>
          <w:p>
            <w:pPr>
              <w:spacing w:line="400" w:lineRule="exact"/>
              <w:jc w:val="left"/>
              <w:rPr>
                <w:rFonts w:ascii="黑体" w:eastAsia="黑体" w:cs="黑体"/>
                <w:sz w:val="28"/>
                <w:szCs w:val="28"/>
              </w:rPr>
            </w:pPr>
            <w:r>
              <w:rPr>
                <w:rFonts w:hint="eastAsia"/>
                <w:sz w:val="28"/>
                <w:szCs w:val="28"/>
              </w:rPr>
              <w:t>嘉兴市秀洲区人民政府办公室</w:t>
            </w:r>
          </w:p>
        </w:tc>
        <w:tc>
          <w:tcPr>
            <w:tcW w:w="4818" w:type="dxa"/>
            <w:tcBorders>
              <w:top w:val="single" w:color="auto" w:sz="6" w:space="0"/>
              <w:left w:val="nil"/>
              <w:bottom w:val="single" w:color="auto" w:sz="12" w:space="0"/>
              <w:right w:val="nil"/>
            </w:tcBorders>
            <w:vAlign w:val="center"/>
          </w:tcPr>
          <w:p>
            <w:pPr>
              <w:wordWrap w:val="0"/>
              <w:spacing w:line="400" w:lineRule="exact"/>
              <w:jc w:val="right"/>
              <w:rPr>
                <w:sz w:val="28"/>
                <w:szCs w:val="28"/>
              </w:rPr>
            </w:pPr>
            <w:r>
              <w:rPr>
                <w:rFonts w:hint="eastAsia"/>
                <w:sz w:val="28"/>
                <w:szCs w:val="28"/>
              </w:rPr>
              <w:t>2021年12月31日印发</w:t>
            </w:r>
          </w:p>
        </w:tc>
        <w:tc>
          <w:tcPr>
            <w:tcW w:w="231" w:type="dxa"/>
            <w:tcBorders>
              <w:top w:val="single" w:color="auto" w:sz="6" w:space="0"/>
              <w:left w:val="nil"/>
              <w:bottom w:val="single" w:color="auto" w:sz="12" w:space="0"/>
              <w:right w:val="nil"/>
            </w:tcBorders>
            <w:vAlign w:val="center"/>
          </w:tcPr>
          <w:p>
            <w:pPr>
              <w:spacing w:line="400" w:lineRule="exact"/>
              <w:jc w:val="right"/>
              <w:rPr>
                <w:rFonts w:ascii="黑体" w:eastAsia="黑体" w:cs="黑体"/>
                <w:sz w:val="28"/>
                <w:szCs w:val="28"/>
              </w:rPr>
            </w:pPr>
          </w:p>
        </w:tc>
      </w:tr>
    </w:tbl>
    <w:p>
      <w:pPr>
        <w:spacing w:line="20" w:lineRule="exact"/>
        <w:rPr>
          <w:rFonts w:ascii="楷体_GB2312" w:eastAsia="楷体_GB2312" w:cs="楷体_GB2312"/>
          <w:snapToGrid w:val="0"/>
          <w:color w:val="000000"/>
        </w:rPr>
      </w:pPr>
    </w:p>
    <w:p>
      <w:pPr>
        <w:spacing w:line="20" w:lineRule="exact"/>
        <w:rPr>
          <w:rFonts w:ascii="楷体_GB2312" w:eastAsia="楷体_GB2312" w:cs="楷体_GB2312"/>
          <w:snapToGrid w:val="0"/>
          <w:color w:val="000000"/>
        </w:rPr>
      </w:pPr>
    </w:p>
    <w:p>
      <w:pPr>
        <w:spacing w:line="20" w:lineRule="exact"/>
        <w:rPr>
          <w:rFonts w:ascii="楷体_GB2312" w:eastAsia="楷体_GB2312" w:cs="楷体_GB2312"/>
          <w:snapToGrid w:val="0"/>
          <w:color w:val="000000"/>
        </w:rPr>
      </w:pPr>
    </w:p>
    <w:p>
      <w:pPr>
        <w:spacing w:line="20" w:lineRule="exact"/>
        <w:rPr>
          <w:rFonts w:ascii="楷体_GB2312" w:eastAsia="楷体_GB2312" w:cs="楷体_GB2312"/>
          <w:snapToGrid w:val="0"/>
          <w:color w:val="000000"/>
        </w:rPr>
      </w:pPr>
    </w:p>
    <w:sectPr>
      <w:headerReference r:id="rId3" w:type="default"/>
      <w:footerReference r:id="rId4" w:type="default"/>
      <w:pgSz w:w="11906" w:h="16838"/>
      <w:pgMar w:top="2041" w:right="1531" w:bottom="2041" w:left="1531" w:header="851" w:footer="1588" w:gutter="0"/>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2"/>
      <w:rPr>
        <w:rStyle w:val="17"/>
        <w:rFonts w:hAnsi="仿宋_GB2312" w:cs="仿宋_GB2312"/>
        <w:sz w:val="28"/>
        <w:szCs w:val="28"/>
        <w:lang w:val="en-US"/>
      </w:rPr>
    </w:pPr>
    <w:r>
      <w:rPr>
        <w:rFonts w:hAnsi="仿宋_GB2312"/>
        <w:sz w:val="28"/>
        <w:szCs w:val="28"/>
      </w:rPr>
      <w:t xml:space="preserve">— </w:t>
    </w:r>
    <w:r>
      <w:rPr>
        <w:rStyle w:val="17"/>
        <w:rFonts w:hAnsi="仿宋_GB2312" w:cs="仿宋_GB2312"/>
        <w:b w:val="0"/>
        <w:bCs w:val="0"/>
        <w:sz w:val="28"/>
        <w:szCs w:val="28"/>
        <w:lang w:val="en-US"/>
      </w:rPr>
      <w:fldChar w:fldCharType="begin"/>
    </w:r>
    <w:r>
      <w:rPr>
        <w:rStyle w:val="17"/>
        <w:rFonts w:hAnsi="仿宋_GB2312" w:cs="仿宋_GB2312"/>
        <w:b w:val="0"/>
        <w:bCs w:val="0"/>
        <w:sz w:val="28"/>
        <w:szCs w:val="28"/>
        <w:lang w:val="en-US"/>
      </w:rPr>
      <w:instrText xml:space="preserve">PAGE  </w:instrText>
    </w:r>
    <w:r>
      <w:rPr>
        <w:rStyle w:val="17"/>
        <w:rFonts w:hAnsi="仿宋_GB2312" w:cs="仿宋_GB2312"/>
        <w:b w:val="0"/>
        <w:bCs w:val="0"/>
        <w:sz w:val="28"/>
        <w:szCs w:val="28"/>
        <w:lang w:val="en-US"/>
      </w:rPr>
      <w:fldChar w:fldCharType="separate"/>
    </w:r>
    <w:r>
      <w:rPr>
        <w:rStyle w:val="17"/>
        <w:rFonts w:hAnsi="仿宋_GB2312" w:cs="仿宋_GB2312"/>
        <w:b w:val="0"/>
        <w:bCs w:val="0"/>
        <w:sz w:val="28"/>
        <w:szCs w:val="28"/>
        <w:lang w:val="en-US"/>
      </w:rPr>
      <w:t>8</w:t>
    </w:r>
    <w:r>
      <w:rPr>
        <w:rStyle w:val="17"/>
        <w:rFonts w:hAnsi="仿宋_GB2312" w:cs="仿宋_GB2312"/>
        <w:b w:val="0"/>
        <w:bCs w:val="0"/>
        <w:sz w:val="28"/>
        <w:szCs w:val="28"/>
        <w:lang w:val="en-US"/>
      </w:rPr>
      <w:fldChar w:fldCharType="end"/>
    </w:r>
    <w:r>
      <w:rPr>
        <w:rFonts w:hAnsi="仿宋_GB2312"/>
        <w:sz w:val="28"/>
        <w:szCs w:val="28"/>
      </w:rPr>
      <w:t>—</w:t>
    </w:r>
  </w:p>
  <w:p>
    <w:pPr>
      <w:pStyle w:val="9"/>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GI1NDNkYmFkYjYyMmQzMTY0Y2IxY2RhZDMzMjY5MWUifQ=="/>
    <w:docVar w:name="KSO_WPS_MARK_KEY" w:val="a40f8ce4-75c6-4efe-be41-b222ad38671d"/>
  </w:docVars>
  <w:rsids>
    <w:rsidRoot w:val="008E1170"/>
    <w:rsid w:val="00014915"/>
    <w:rsid w:val="00035671"/>
    <w:rsid w:val="000700B4"/>
    <w:rsid w:val="000725D5"/>
    <w:rsid w:val="000762EB"/>
    <w:rsid w:val="000774C5"/>
    <w:rsid w:val="000875E2"/>
    <w:rsid w:val="00087698"/>
    <w:rsid w:val="00095D20"/>
    <w:rsid w:val="000A735E"/>
    <w:rsid w:val="000B2F3C"/>
    <w:rsid w:val="000C6560"/>
    <w:rsid w:val="000D0C77"/>
    <w:rsid w:val="000D71D1"/>
    <w:rsid w:val="000F3C21"/>
    <w:rsid w:val="000F65D9"/>
    <w:rsid w:val="00122292"/>
    <w:rsid w:val="00127F83"/>
    <w:rsid w:val="00147D77"/>
    <w:rsid w:val="00163D2F"/>
    <w:rsid w:val="001716BF"/>
    <w:rsid w:val="00175468"/>
    <w:rsid w:val="001809C9"/>
    <w:rsid w:val="001A321E"/>
    <w:rsid w:val="001B3D21"/>
    <w:rsid w:val="001C1689"/>
    <w:rsid w:val="001C2621"/>
    <w:rsid w:val="001D3B12"/>
    <w:rsid w:val="001E50DF"/>
    <w:rsid w:val="001F388B"/>
    <w:rsid w:val="002235AF"/>
    <w:rsid w:val="00252888"/>
    <w:rsid w:val="00262DD0"/>
    <w:rsid w:val="00271D10"/>
    <w:rsid w:val="00276170"/>
    <w:rsid w:val="0028069B"/>
    <w:rsid w:val="0029220C"/>
    <w:rsid w:val="002B1A31"/>
    <w:rsid w:val="002B49FD"/>
    <w:rsid w:val="002C15C8"/>
    <w:rsid w:val="002D6748"/>
    <w:rsid w:val="002E2230"/>
    <w:rsid w:val="002F3202"/>
    <w:rsid w:val="003304C1"/>
    <w:rsid w:val="003613C4"/>
    <w:rsid w:val="00362FF4"/>
    <w:rsid w:val="003725FB"/>
    <w:rsid w:val="003871A0"/>
    <w:rsid w:val="00391294"/>
    <w:rsid w:val="003A24D5"/>
    <w:rsid w:val="003C692E"/>
    <w:rsid w:val="00405F1C"/>
    <w:rsid w:val="00416BE1"/>
    <w:rsid w:val="004243B7"/>
    <w:rsid w:val="00452F15"/>
    <w:rsid w:val="00460277"/>
    <w:rsid w:val="00475178"/>
    <w:rsid w:val="0047712A"/>
    <w:rsid w:val="004800B8"/>
    <w:rsid w:val="004823A8"/>
    <w:rsid w:val="0049132C"/>
    <w:rsid w:val="00494FC2"/>
    <w:rsid w:val="004B27A8"/>
    <w:rsid w:val="004D2C8C"/>
    <w:rsid w:val="004D6C65"/>
    <w:rsid w:val="004E1313"/>
    <w:rsid w:val="004E48C0"/>
    <w:rsid w:val="004F06F3"/>
    <w:rsid w:val="00510CD7"/>
    <w:rsid w:val="00521483"/>
    <w:rsid w:val="0052551E"/>
    <w:rsid w:val="0053049B"/>
    <w:rsid w:val="00576AE2"/>
    <w:rsid w:val="00591A08"/>
    <w:rsid w:val="005B0061"/>
    <w:rsid w:val="005C60D7"/>
    <w:rsid w:val="005D76F7"/>
    <w:rsid w:val="005E3AF9"/>
    <w:rsid w:val="006215F3"/>
    <w:rsid w:val="006218AB"/>
    <w:rsid w:val="006471CF"/>
    <w:rsid w:val="00654CE7"/>
    <w:rsid w:val="006A3F7D"/>
    <w:rsid w:val="006A40F4"/>
    <w:rsid w:val="006C216B"/>
    <w:rsid w:val="006C2E48"/>
    <w:rsid w:val="006C6011"/>
    <w:rsid w:val="006D35A9"/>
    <w:rsid w:val="006D622D"/>
    <w:rsid w:val="006E30EA"/>
    <w:rsid w:val="00701852"/>
    <w:rsid w:val="00706103"/>
    <w:rsid w:val="00710F73"/>
    <w:rsid w:val="007134AF"/>
    <w:rsid w:val="00715E10"/>
    <w:rsid w:val="00726F87"/>
    <w:rsid w:val="00740563"/>
    <w:rsid w:val="007412E8"/>
    <w:rsid w:val="00742C55"/>
    <w:rsid w:val="00747B83"/>
    <w:rsid w:val="00771AC3"/>
    <w:rsid w:val="00773BDD"/>
    <w:rsid w:val="00796DAC"/>
    <w:rsid w:val="007A1FAA"/>
    <w:rsid w:val="007D4C26"/>
    <w:rsid w:val="007D6DC3"/>
    <w:rsid w:val="00802A3A"/>
    <w:rsid w:val="0081626D"/>
    <w:rsid w:val="00821B94"/>
    <w:rsid w:val="00843BC4"/>
    <w:rsid w:val="00860878"/>
    <w:rsid w:val="00866C19"/>
    <w:rsid w:val="0089543E"/>
    <w:rsid w:val="008A79D2"/>
    <w:rsid w:val="008B46DC"/>
    <w:rsid w:val="008C45EE"/>
    <w:rsid w:val="008D3E1D"/>
    <w:rsid w:val="008E1170"/>
    <w:rsid w:val="009010CF"/>
    <w:rsid w:val="0090504F"/>
    <w:rsid w:val="0090661D"/>
    <w:rsid w:val="00925B49"/>
    <w:rsid w:val="009334C7"/>
    <w:rsid w:val="0093654F"/>
    <w:rsid w:val="00960D52"/>
    <w:rsid w:val="00963C76"/>
    <w:rsid w:val="00982883"/>
    <w:rsid w:val="00985EC2"/>
    <w:rsid w:val="009912FC"/>
    <w:rsid w:val="009921BB"/>
    <w:rsid w:val="009A44B5"/>
    <w:rsid w:val="009E3E3C"/>
    <w:rsid w:val="00A20F30"/>
    <w:rsid w:val="00A37E04"/>
    <w:rsid w:val="00A53025"/>
    <w:rsid w:val="00A679B6"/>
    <w:rsid w:val="00A740FE"/>
    <w:rsid w:val="00A879F6"/>
    <w:rsid w:val="00A90760"/>
    <w:rsid w:val="00AC0940"/>
    <w:rsid w:val="00AC35A3"/>
    <w:rsid w:val="00AF003D"/>
    <w:rsid w:val="00AF6C3B"/>
    <w:rsid w:val="00B14DE5"/>
    <w:rsid w:val="00B20502"/>
    <w:rsid w:val="00B227F8"/>
    <w:rsid w:val="00B36A41"/>
    <w:rsid w:val="00B36E83"/>
    <w:rsid w:val="00B421C8"/>
    <w:rsid w:val="00B53141"/>
    <w:rsid w:val="00B67036"/>
    <w:rsid w:val="00BA14BF"/>
    <w:rsid w:val="00BB4C2B"/>
    <w:rsid w:val="00BC7A34"/>
    <w:rsid w:val="00BD392B"/>
    <w:rsid w:val="00BD3D24"/>
    <w:rsid w:val="00BE6F37"/>
    <w:rsid w:val="00C05BBA"/>
    <w:rsid w:val="00C121B6"/>
    <w:rsid w:val="00C224E5"/>
    <w:rsid w:val="00C23F7C"/>
    <w:rsid w:val="00C33BDB"/>
    <w:rsid w:val="00C36550"/>
    <w:rsid w:val="00C47435"/>
    <w:rsid w:val="00C47DA2"/>
    <w:rsid w:val="00C52063"/>
    <w:rsid w:val="00C55975"/>
    <w:rsid w:val="00C56C89"/>
    <w:rsid w:val="00CA54C8"/>
    <w:rsid w:val="00CB3AC0"/>
    <w:rsid w:val="00CC238D"/>
    <w:rsid w:val="00CC6B6C"/>
    <w:rsid w:val="00CC6F84"/>
    <w:rsid w:val="00CD7032"/>
    <w:rsid w:val="00CD734D"/>
    <w:rsid w:val="00CD77DC"/>
    <w:rsid w:val="00D015A8"/>
    <w:rsid w:val="00D0227A"/>
    <w:rsid w:val="00D073EA"/>
    <w:rsid w:val="00D27977"/>
    <w:rsid w:val="00D56B16"/>
    <w:rsid w:val="00D81279"/>
    <w:rsid w:val="00DA5188"/>
    <w:rsid w:val="00DA5E5E"/>
    <w:rsid w:val="00DB3CE9"/>
    <w:rsid w:val="00DE0D63"/>
    <w:rsid w:val="00DE71D6"/>
    <w:rsid w:val="00DE772D"/>
    <w:rsid w:val="00DF4D9C"/>
    <w:rsid w:val="00E150C2"/>
    <w:rsid w:val="00E23C4B"/>
    <w:rsid w:val="00E42FA1"/>
    <w:rsid w:val="00E449D5"/>
    <w:rsid w:val="00E473E5"/>
    <w:rsid w:val="00E51C05"/>
    <w:rsid w:val="00E53187"/>
    <w:rsid w:val="00E916B6"/>
    <w:rsid w:val="00E97161"/>
    <w:rsid w:val="00EB45C2"/>
    <w:rsid w:val="00EC4027"/>
    <w:rsid w:val="00ED5C5A"/>
    <w:rsid w:val="00ED7C95"/>
    <w:rsid w:val="00EF5137"/>
    <w:rsid w:val="00EF7E88"/>
    <w:rsid w:val="00F16E6E"/>
    <w:rsid w:val="00F23C12"/>
    <w:rsid w:val="00F32AD9"/>
    <w:rsid w:val="00F33938"/>
    <w:rsid w:val="00F33A10"/>
    <w:rsid w:val="00F4057C"/>
    <w:rsid w:val="00F40FE9"/>
    <w:rsid w:val="00F51F25"/>
    <w:rsid w:val="00F55505"/>
    <w:rsid w:val="00F866D4"/>
    <w:rsid w:val="00F9021B"/>
    <w:rsid w:val="00F9256A"/>
    <w:rsid w:val="00FC1842"/>
    <w:rsid w:val="02D91321"/>
    <w:rsid w:val="08A95751"/>
    <w:rsid w:val="0B6531AA"/>
    <w:rsid w:val="0E5913A7"/>
    <w:rsid w:val="0E694CB8"/>
    <w:rsid w:val="0E753202"/>
    <w:rsid w:val="11282671"/>
    <w:rsid w:val="13525EE3"/>
    <w:rsid w:val="171212A0"/>
    <w:rsid w:val="1BD06379"/>
    <w:rsid w:val="1D3F0D1F"/>
    <w:rsid w:val="1E9B331B"/>
    <w:rsid w:val="1FBF791B"/>
    <w:rsid w:val="20A86815"/>
    <w:rsid w:val="20E07C57"/>
    <w:rsid w:val="25C303B9"/>
    <w:rsid w:val="26910752"/>
    <w:rsid w:val="2C9A38CC"/>
    <w:rsid w:val="2D4A3D29"/>
    <w:rsid w:val="31CB1E12"/>
    <w:rsid w:val="31DA1DDA"/>
    <w:rsid w:val="390F6FC9"/>
    <w:rsid w:val="3AE93BEB"/>
    <w:rsid w:val="3B3D5975"/>
    <w:rsid w:val="3B7A74ED"/>
    <w:rsid w:val="3CA45856"/>
    <w:rsid w:val="3D557160"/>
    <w:rsid w:val="3D9D2E3D"/>
    <w:rsid w:val="3E897D23"/>
    <w:rsid w:val="40020C49"/>
    <w:rsid w:val="407542D1"/>
    <w:rsid w:val="43144E12"/>
    <w:rsid w:val="43EF6397"/>
    <w:rsid w:val="45964D81"/>
    <w:rsid w:val="46B92D5C"/>
    <w:rsid w:val="472A19AA"/>
    <w:rsid w:val="47443597"/>
    <w:rsid w:val="47A31155"/>
    <w:rsid w:val="49D8629F"/>
    <w:rsid w:val="4A6F6011"/>
    <w:rsid w:val="4C6443AD"/>
    <w:rsid w:val="4C6C72BF"/>
    <w:rsid w:val="4D791621"/>
    <w:rsid w:val="4F692C19"/>
    <w:rsid w:val="4F9B27E8"/>
    <w:rsid w:val="51B2516F"/>
    <w:rsid w:val="5589177C"/>
    <w:rsid w:val="559F0AC7"/>
    <w:rsid w:val="56CF2878"/>
    <w:rsid w:val="5B69741C"/>
    <w:rsid w:val="5BC6493F"/>
    <w:rsid w:val="5D224980"/>
    <w:rsid w:val="5DC71AC5"/>
    <w:rsid w:val="5F906804"/>
    <w:rsid w:val="5FD67D33"/>
    <w:rsid w:val="606D254B"/>
    <w:rsid w:val="61740980"/>
    <w:rsid w:val="62FD1966"/>
    <w:rsid w:val="639857C3"/>
    <w:rsid w:val="639E3464"/>
    <w:rsid w:val="6681251C"/>
    <w:rsid w:val="675B4C1D"/>
    <w:rsid w:val="696E1637"/>
    <w:rsid w:val="6B3D08DB"/>
    <w:rsid w:val="70A87991"/>
    <w:rsid w:val="72FD6088"/>
    <w:rsid w:val="73AF63D7"/>
    <w:rsid w:val="766008C0"/>
    <w:rsid w:val="769A37E6"/>
    <w:rsid w:val="79476067"/>
    <w:rsid w:val="7970413E"/>
    <w:rsid w:val="7A3F4E8D"/>
    <w:rsid w:val="7A495802"/>
    <w:rsid w:val="7B1B1158"/>
    <w:rsid w:val="7D1A1B89"/>
    <w:rsid w:val="7D5A3789"/>
    <w:rsid w:val="7DA97369"/>
    <w:rsid w:val="7E2A5022"/>
    <w:rsid w:val="7E556D2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0" w:semiHidden="0"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iPriority="99" w:semiHidden="0" w:name="Hyperlink" w:locked="1"/>
    <w:lsdException w:uiPriority="99" w:name="FollowedHyperlink" w:locked="1"/>
    <w:lsdException w:qFormat="1" w:unhideWhenUsed="0" w:uiPriority="99" w:semiHidden="0" w:name="Strong"/>
    <w:lsdException w:qFormat="1" w:unhideWhenUsed="0" w:uiPriority="99"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qFormat/>
    <w:uiPriority w:val="99"/>
    <w:rPr>
      <w:sz w:val="24"/>
      <w:szCs w:val="24"/>
    </w:rPr>
  </w:style>
  <w:style w:type="paragraph" w:styleId="3">
    <w:name w:val="Body Text Indent"/>
    <w:basedOn w:val="1"/>
    <w:link w:val="21"/>
    <w:qFormat/>
    <w:uiPriority w:val="99"/>
    <w:pPr>
      <w:adjustRightInd w:val="0"/>
      <w:snapToGrid w:val="0"/>
      <w:spacing w:line="360" w:lineRule="auto"/>
      <w:ind w:firstLine="600" w:firstLineChars="200"/>
    </w:pPr>
    <w:rPr>
      <w:sz w:val="24"/>
      <w:szCs w:val="24"/>
    </w:rPr>
  </w:style>
  <w:style w:type="paragraph" w:styleId="4">
    <w:name w:val="List Bullet 2"/>
    <w:basedOn w:val="1"/>
    <w:qFormat/>
    <w:locked/>
    <w:uiPriority w:val="0"/>
    <w:pPr>
      <w:tabs>
        <w:tab w:val="left" w:pos="780"/>
      </w:tabs>
      <w:ind w:left="780" w:hanging="360"/>
    </w:pPr>
    <w:rPr>
      <w:rFonts w:ascii="Calibri" w:hAnsi="Calibri" w:eastAsia="宋体" w:cs="Calibri"/>
    </w:rPr>
  </w:style>
  <w:style w:type="paragraph" w:styleId="5">
    <w:name w:val="Plain Text"/>
    <w:basedOn w:val="1"/>
    <w:link w:val="81"/>
    <w:qFormat/>
    <w:locked/>
    <w:uiPriority w:val="0"/>
    <w:rPr>
      <w:rFonts w:ascii="宋体" w:hAnsi="Courier New" w:eastAsia="宋体" w:cs="Times New Roman"/>
      <w:kern w:val="0"/>
      <w:sz w:val="20"/>
      <w:szCs w:val="21"/>
    </w:rPr>
  </w:style>
  <w:style w:type="paragraph" w:styleId="6">
    <w:name w:val="Date"/>
    <w:basedOn w:val="1"/>
    <w:next w:val="1"/>
    <w:link w:val="22"/>
    <w:qFormat/>
    <w:uiPriority w:val="99"/>
    <w:rPr>
      <w:sz w:val="24"/>
      <w:szCs w:val="24"/>
    </w:rPr>
  </w:style>
  <w:style w:type="paragraph" w:styleId="7">
    <w:name w:val="Body Text Indent 2"/>
    <w:basedOn w:val="1"/>
    <w:link w:val="23"/>
    <w:qFormat/>
    <w:uiPriority w:val="99"/>
    <w:pPr>
      <w:ind w:firstLine="586" w:firstLineChars="200"/>
    </w:pPr>
    <w:rPr>
      <w:sz w:val="24"/>
      <w:szCs w:val="24"/>
    </w:rPr>
  </w:style>
  <w:style w:type="paragraph" w:styleId="8">
    <w:name w:val="Balloon Text"/>
    <w:basedOn w:val="1"/>
    <w:link w:val="24"/>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7"/>
    <w:qFormat/>
    <w:uiPriority w:val="99"/>
    <w:pPr>
      <w:ind w:firstLine="607" w:firstLineChars="200"/>
    </w:pPr>
    <w:rPr>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sz w:val="24"/>
      <w:szCs w:val="24"/>
    </w:rPr>
  </w:style>
  <w:style w:type="table" w:styleId="14">
    <w:name w:val="Table Grid"/>
    <w:basedOn w:val="13"/>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99"/>
    <w:rPr>
      <w:rFonts w:cs="Times New Roman"/>
      <w:b/>
      <w:bCs/>
      <w:lang w:val="zh-CN" w:eastAsia="en-US"/>
    </w:rPr>
  </w:style>
  <w:style w:type="character" w:styleId="17">
    <w:name w:val="page number"/>
    <w:qFormat/>
    <w:uiPriority w:val="99"/>
    <w:rPr>
      <w:rFonts w:cs="Times New Roman"/>
      <w:b/>
      <w:bCs/>
      <w:lang w:val="zh-CN" w:eastAsia="en-US"/>
    </w:rPr>
  </w:style>
  <w:style w:type="character" w:styleId="18">
    <w:name w:val="Emphasis"/>
    <w:qFormat/>
    <w:locked/>
    <w:uiPriority w:val="99"/>
    <w:rPr>
      <w:rFonts w:cs="Times New Roman"/>
      <w:b/>
      <w:bCs/>
      <w:i/>
      <w:iCs/>
      <w:lang w:val="zh-CN" w:eastAsia="en-US"/>
    </w:rPr>
  </w:style>
  <w:style w:type="character" w:styleId="19">
    <w:name w:val="Hyperlink"/>
    <w:unhideWhenUsed/>
    <w:qFormat/>
    <w:locked/>
    <w:uiPriority w:val="99"/>
    <w:rPr>
      <w:color w:val="0000FF"/>
      <w:u w:val="single"/>
    </w:rPr>
  </w:style>
  <w:style w:type="character" w:customStyle="1" w:styleId="20">
    <w:name w:val="正文文本 Char1"/>
    <w:link w:val="2"/>
    <w:qFormat/>
    <w:locked/>
    <w:uiPriority w:val="99"/>
    <w:rPr>
      <w:rFonts w:ascii="仿宋_GB2312" w:eastAsia="仿宋_GB2312" w:cs="仿宋_GB2312"/>
      <w:b/>
      <w:bCs/>
      <w:sz w:val="32"/>
      <w:szCs w:val="32"/>
      <w:lang w:val="zh-CN" w:eastAsia="en-US"/>
    </w:rPr>
  </w:style>
  <w:style w:type="character" w:customStyle="1" w:styleId="21">
    <w:name w:val="正文文本缩进 Char1"/>
    <w:link w:val="3"/>
    <w:qFormat/>
    <w:locked/>
    <w:uiPriority w:val="99"/>
    <w:rPr>
      <w:rFonts w:ascii="仿宋_GB2312" w:eastAsia="仿宋_GB2312" w:cs="仿宋_GB2312"/>
      <w:b/>
      <w:bCs/>
      <w:sz w:val="32"/>
      <w:szCs w:val="32"/>
      <w:lang w:val="zh-CN" w:eastAsia="en-US"/>
    </w:rPr>
  </w:style>
  <w:style w:type="character" w:customStyle="1" w:styleId="22">
    <w:name w:val="日期 Char1"/>
    <w:link w:val="6"/>
    <w:qFormat/>
    <w:locked/>
    <w:uiPriority w:val="99"/>
    <w:rPr>
      <w:rFonts w:ascii="仿宋_GB2312" w:eastAsia="仿宋_GB2312" w:cs="仿宋_GB2312"/>
      <w:b/>
      <w:bCs/>
      <w:sz w:val="32"/>
      <w:szCs w:val="32"/>
      <w:lang w:val="zh-CN" w:eastAsia="en-US"/>
    </w:rPr>
  </w:style>
  <w:style w:type="character" w:customStyle="1" w:styleId="23">
    <w:name w:val="正文文本缩进 2 Char1"/>
    <w:link w:val="7"/>
    <w:qFormat/>
    <w:locked/>
    <w:uiPriority w:val="99"/>
    <w:rPr>
      <w:rFonts w:ascii="仿宋_GB2312" w:eastAsia="仿宋_GB2312" w:cs="仿宋_GB2312"/>
      <w:b/>
      <w:bCs/>
      <w:sz w:val="32"/>
      <w:szCs w:val="32"/>
      <w:lang w:val="zh-CN" w:eastAsia="en-US"/>
    </w:rPr>
  </w:style>
  <w:style w:type="character" w:customStyle="1" w:styleId="24">
    <w:name w:val="批注框文本 Char1"/>
    <w:link w:val="8"/>
    <w:qFormat/>
    <w:locked/>
    <w:uiPriority w:val="99"/>
    <w:rPr>
      <w:rFonts w:ascii="仿宋_GB2312" w:eastAsia="仿宋_GB2312" w:cs="仿宋_GB2312"/>
      <w:b/>
      <w:bCs/>
      <w:sz w:val="18"/>
      <w:szCs w:val="18"/>
      <w:lang w:val="zh-CN" w:eastAsia="en-US"/>
    </w:rPr>
  </w:style>
  <w:style w:type="character" w:customStyle="1" w:styleId="25">
    <w:name w:val="页脚 Char1"/>
    <w:link w:val="9"/>
    <w:qFormat/>
    <w:locked/>
    <w:uiPriority w:val="99"/>
    <w:rPr>
      <w:rFonts w:ascii="仿宋_GB2312" w:eastAsia="仿宋_GB2312" w:cs="仿宋_GB2312"/>
      <w:b/>
      <w:bCs/>
      <w:sz w:val="18"/>
      <w:szCs w:val="18"/>
      <w:lang w:val="zh-CN" w:eastAsia="en-US"/>
    </w:rPr>
  </w:style>
  <w:style w:type="character" w:customStyle="1" w:styleId="26">
    <w:name w:val="页眉 Char1"/>
    <w:link w:val="10"/>
    <w:qFormat/>
    <w:locked/>
    <w:uiPriority w:val="99"/>
    <w:rPr>
      <w:rFonts w:ascii="仿宋_GB2312" w:eastAsia="仿宋_GB2312" w:cs="仿宋_GB2312"/>
      <w:b/>
      <w:bCs/>
      <w:sz w:val="18"/>
      <w:szCs w:val="18"/>
      <w:lang w:val="zh-CN" w:eastAsia="en-US"/>
    </w:rPr>
  </w:style>
  <w:style w:type="character" w:customStyle="1" w:styleId="27">
    <w:name w:val="正文文本缩进 3 Char1"/>
    <w:link w:val="11"/>
    <w:qFormat/>
    <w:locked/>
    <w:uiPriority w:val="99"/>
    <w:rPr>
      <w:rFonts w:ascii="仿宋_GB2312" w:eastAsia="仿宋_GB2312" w:cs="仿宋_GB2312"/>
      <w:b/>
      <w:bCs/>
      <w:sz w:val="16"/>
      <w:szCs w:val="16"/>
      <w:lang w:val="zh-CN" w:eastAsia="en-US"/>
    </w:rPr>
  </w:style>
  <w:style w:type="character" w:customStyle="1" w:styleId="28">
    <w:name w:val="t_tag"/>
    <w:qFormat/>
    <w:uiPriority w:val="99"/>
    <w:rPr>
      <w:rFonts w:cs="Times New Roman"/>
      <w:b/>
      <w:bCs/>
      <w:lang w:val="zh-CN" w:eastAsia="en-US"/>
    </w:rPr>
  </w:style>
  <w:style w:type="character" w:customStyle="1" w:styleId="29">
    <w:name w:val="页脚 Char2"/>
    <w:qFormat/>
    <w:uiPriority w:val="99"/>
    <w:rPr>
      <w:rFonts w:ascii="仿宋_GB2312" w:eastAsia="仿宋_GB2312" w:cs="仿宋_GB2312"/>
      <w:b/>
      <w:bCs/>
      <w:sz w:val="18"/>
      <w:szCs w:val="18"/>
      <w:lang w:val="zh-CN" w:eastAsia="en-US"/>
    </w:rPr>
  </w:style>
  <w:style w:type="character" w:customStyle="1" w:styleId="30">
    <w:name w:val="正文文本 Char2"/>
    <w:qFormat/>
    <w:uiPriority w:val="99"/>
    <w:rPr>
      <w:rFonts w:ascii="仿宋_GB2312" w:eastAsia="仿宋_GB2312" w:cs="仿宋_GB2312"/>
      <w:b/>
      <w:bCs/>
      <w:sz w:val="32"/>
      <w:szCs w:val="32"/>
      <w:lang w:val="zh-CN" w:eastAsia="en-US"/>
    </w:rPr>
  </w:style>
  <w:style w:type="character" w:customStyle="1" w:styleId="31">
    <w:name w:val="正文文本缩进 2 Char2"/>
    <w:qFormat/>
    <w:uiPriority w:val="99"/>
    <w:rPr>
      <w:rFonts w:ascii="仿宋_GB2312" w:eastAsia="仿宋_GB2312" w:cs="仿宋_GB2312"/>
      <w:b/>
      <w:bCs/>
      <w:sz w:val="32"/>
      <w:szCs w:val="32"/>
      <w:lang w:val="zh-CN" w:eastAsia="en-US"/>
    </w:rPr>
  </w:style>
  <w:style w:type="character" w:customStyle="1" w:styleId="32">
    <w:name w:val="日期 Char"/>
    <w:qFormat/>
    <w:uiPriority w:val="99"/>
    <w:rPr>
      <w:rFonts w:ascii="仿宋_GB2312" w:eastAsia="仿宋_GB2312" w:cs="仿宋_GB2312"/>
      <w:b/>
      <w:bCs/>
      <w:sz w:val="32"/>
      <w:szCs w:val="32"/>
      <w:lang w:val="zh-CN" w:eastAsia="en-US"/>
    </w:rPr>
  </w:style>
  <w:style w:type="character" w:customStyle="1" w:styleId="33">
    <w:name w:val="页脚 Char"/>
    <w:qFormat/>
    <w:uiPriority w:val="99"/>
    <w:rPr>
      <w:rFonts w:ascii="仿宋_GB2312" w:eastAsia="仿宋_GB2312" w:cs="仿宋_GB2312"/>
      <w:b/>
      <w:bCs/>
      <w:sz w:val="18"/>
      <w:szCs w:val="18"/>
      <w:lang w:val="zh-CN" w:eastAsia="en-US"/>
    </w:rPr>
  </w:style>
  <w:style w:type="character" w:customStyle="1" w:styleId="34">
    <w:name w:val="apple-style-span"/>
    <w:qFormat/>
    <w:uiPriority w:val="99"/>
    <w:rPr>
      <w:rFonts w:cs="Times New Roman"/>
      <w:b/>
      <w:bCs/>
      <w:lang w:val="zh-CN" w:eastAsia="en-US"/>
    </w:rPr>
  </w:style>
  <w:style w:type="character" w:customStyle="1" w:styleId="35">
    <w:name w:val="正文文本缩进 3 Char2"/>
    <w:qFormat/>
    <w:uiPriority w:val="99"/>
    <w:rPr>
      <w:rFonts w:ascii="仿宋_GB2312" w:eastAsia="仿宋_GB2312" w:cs="仿宋_GB2312"/>
      <w:b/>
      <w:bCs/>
      <w:sz w:val="16"/>
      <w:szCs w:val="16"/>
      <w:lang w:val="zh-CN" w:eastAsia="en-US"/>
    </w:rPr>
  </w:style>
  <w:style w:type="character" w:customStyle="1" w:styleId="36">
    <w:name w:val="正文文本缩进 2 Char"/>
    <w:qFormat/>
    <w:uiPriority w:val="99"/>
    <w:rPr>
      <w:rFonts w:ascii="仿宋_GB2312" w:eastAsia="仿宋_GB2312" w:cs="仿宋_GB2312"/>
      <w:b/>
      <w:bCs/>
      <w:sz w:val="32"/>
      <w:szCs w:val="32"/>
      <w:lang w:val="zh-CN" w:eastAsia="en-US"/>
    </w:rPr>
  </w:style>
  <w:style w:type="character" w:customStyle="1" w:styleId="37">
    <w:name w:val="正文文本缩进 Char"/>
    <w:qFormat/>
    <w:uiPriority w:val="99"/>
    <w:rPr>
      <w:rFonts w:ascii="仿宋_GB2312" w:eastAsia="仿宋_GB2312" w:cs="仿宋_GB2312"/>
      <w:b/>
      <w:bCs/>
      <w:sz w:val="32"/>
      <w:szCs w:val="32"/>
      <w:lang w:val="zh-CN" w:eastAsia="en-US"/>
    </w:rPr>
  </w:style>
  <w:style w:type="character" w:customStyle="1" w:styleId="38">
    <w:name w:val="font61"/>
    <w:qFormat/>
    <w:uiPriority w:val="99"/>
    <w:rPr>
      <w:rFonts w:ascii="仿宋_GB2312" w:hAnsi="Arial" w:eastAsia="仿宋_GB2312" w:cs="仿宋_GB2312"/>
      <w:b/>
      <w:bCs/>
      <w:lang w:val="zh-CN" w:eastAsia="en-US"/>
    </w:rPr>
  </w:style>
  <w:style w:type="character" w:customStyle="1" w:styleId="39">
    <w:name w:val="批注框文本 Char"/>
    <w:qFormat/>
    <w:uiPriority w:val="99"/>
    <w:rPr>
      <w:rFonts w:ascii="仿宋_GB2312" w:eastAsia="仿宋_GB2312" w:cs="仿宋_GB2312"/>
      <w:b/>
      <w:bCs/>
      <w:sz w:val="18"/>
      <w:szCs w:val="18"/>
      <w:lang w:val="zh-CN" w:eastAsia="en-US"/>
    </w:rPr>
  </w:style>
  <w:style w:type="character" w:customStyle="1" w:styleId="40">
    <w:name w:val="批注框文本 Char2"/>
    <w:qFormat/>
    <w:uiPriority w:val="99"/>
    <w:rPr>
      <w:rFonts w:ascii="仿宋_GB2312" w:eastAsia="仿宋_GB2312" w:cs="仿宋_GB2312"/>
      <w:b/>
      <w:bCs/>
      <w:sz w:val="18"/>
      <w:szCs w:val="18"/>
      <w:lang w:val="zh-CN" w:eastAsia="en-US"/>
    </w:rPr>
  </w:style>
  <w:style w:type="character" w:customStyle="1" w:styleId="41">
    <w:name w:val="正文文本 Char"/>
    <w:qFormat/>
    <w:uiPriority w:val="99"/>
    <w:rPr>
      <w:rFonts w:ascii="仿宋_GB2312" w:eastAsia="仿宋_GB2312" w:cs="仿宋_GB2312"/>
      <w:b/>
      <w:bCs/>
      <w:sz w:val="32"/>
      <w:szCs w:val="32"/>
      <w:lang w:val="zh-CN" w:eastAsia="en-US"/>
    </w:rPr>
  </w:style>
  <w:style w:type="character" w:customStyle="1" w:styleId="42">
    <w:name w:val="页眉 Char2"/>
    <w:qFormat/>
    <w:uiPriority w:val="99"/>
    <w:rPr>
      <w:rFonts w:ascii="仿宋_GB2312" w:eastAsia="仿宋_GB2312" w:cs="仿宋_GB2312"/>
      <w:b/>
      <w:bCs/>
      <w:sz w:val="18"/>
      <w:szCs w:val="18"/>
      <w:lang w:val="zh-CN" w:eastAsia="en-US"/>
    </w:rPr>
  </w:style>
  <w:style w:type="character" w:customStyle="1" w:styleId="43">
    <w:name w:val="页眉 Char"/>
    <w:qFormat/>
    <w:uiPriority w:val="99"/>
    <w:rPr>
      <w:rFonts w:ascii="仿宋_GB2312" w:eastAsia="仿宋_GB2312" w:cs="仿宋_GB2312"/>
      <w:b/>
      <w:bCs/>
      <w:sz w:val="18"/>
      <w:szCs w:val="18"/>
      <w:lang w:val="zh-CN" w:eastAsia="en-US"/>
    </w:rPr>
  </w:style>
  <w:style w:type="character" w:customStyle="1" w:styleId="44">
    <w:name w:val="正文文本缩进 Char2"/>
    <w:qFormat/>
    <w:uiPriority w:val="99"/>
    <w:rPr>
      <w:rFonts w:ascii="仿宋_GB2312" w:eastAsia="仿宋_GB2312" w:cs="仿宋_GB2312"/>
      <w:b/>
      <w:bCs/>
      <w:sz w:val="32"/>
      <w:szCs w:val="32"/>
      <w:lang w:val="zh-CN" w:eastAsia="en-US"/>
    </w:rPr>
  </w:style>
  <w:style w:type="character" w:customStyle="1" w:styleId="45">
    <w:name w:val="日期 Char2"/>
    <w:qFormat/>
    <w:uiPriority w:val="99"/>
    <w:rPr>
      <w:rFonts w:ascii="仿宋_GB2312" w:eastAsia="仿宋_GB2312" w:cs="仿宋_GB2312"/>
      <w:b/>
      <w:bCs/>
      <w:sz w:val="32"/>
      <w:szCs w:val="32"/>
      <w:lang w:val="zh-CN" w:eastAsia="en-US"/>
    </w:rPr>
  </w:style>
  <w:style w:type="character" w:customStyle="1" w:styleId="46">
    <w:name w:val="font01"/>
    <w:qFormat/>
    <w:uiPriority w:val="99"/>
    <w:rPr>
      <w:rFonts w:ascii="宋体" w:eastAsia="宋体" w:cs="宋体"/>
      <w:b/>
      <w:bCs/>
      <w:color w:val="000000"/>
      <w:lang w:val="zh-CN" w:eastAsia="en-US"/>
    </w:rPr>
  </w:style>
  <w:style w:type="character" w:customStyle="1" w:styleId="47">
    <w:name w:val="正文文本缩进 3 Char"/>
    <w:qFormat/>
    <w:uiPriority w:val="99"/>
    <w:rPr>
      <w:rFonts w:ascii="仿宋_GB2312" w:eastAsia="仿宋_GB2312" w:cs="仿宋_GB2312"/>
      <w:b/>
      <w:bCs/>
      <w:sz w:val="16"/>
      <w:szCs w:val="16"/>
      <w:lang w:val="zh-CN" w:eastAsia="en-US"/>
    </w:rPr>
  </w:style>
  <w:style w:type="character" w:customStyle="1" w:styleId="48">
    <w:name w:val="日期 Char3"/>
    <w:semiHidden/>
    <w:qFormat/>
    <w:uiPriority w:val="99"/>
    <w:rPr>
      <w:rFonts w:ascii="仿宋_GB2312" w:eastAsia="仿宋_GB2312" w:cs="仿宋_GB2312"/>
      <w:sz w:val="32"/>
      <w:szCs w:val="32"/>
    </w:rPr>
  </w:style>
  <w:style w:type="character" w:customStyle="1" w:styleId="49">
    <w:name w:val="日期 Char32"/>
    <w:semiHidden/>
    <w:qFormat/>
    <w:uiPriority w:val="99"/>
    <w:rPr>
      <w:rFonts w:ascii="仿宋_GB2312" w:eastAsia="仿宋_GB2312" w:cs="仿宋_GB2312"/>
      <w:sz w:val="32"/>
      <w:szCs w:val="32"/>
    </w:rPr>
  </w:style>
  <w:style w:type="character" w:customStyle="1" w:styleId="50">
    <w:name w:val="日期 Char31"/>
    <w:semiHidden/>
    <w:qFormat/>
    <w:uiPriority w:val="99"/>
    <w:rPr>
      <w:rFonts w:ascii="仿宋_GB2312" w:eastAsia="仿宋_GB2312" w:cs="仿宋_GB2312"/>
      <w:sz w:val="32"/>
      <w:szCs w:val="32"/>
    </w:rPr>
  </w:style>
  <w:style w:type="character" w:customStyle="1" w:styleId="51">
    <w:name w:val="批注框文本 Char3"/>
    <w:semiHidden/>
    <w:qFormat/>
    <w:uiPriority w:val="99"/>
    <w:rPr>
      <w:rFonts w:ascii="仿宋_GB2312" w:eastAsia="仿宋_GB2312" w:cs="仿宋_GB2312"/>
      <w:sz w:val="18"/>
      <w:szCs w:val="18"/>
    </w:rPr>
  </w:style>
  <w:style w:type="character" w:customStyle="1" w:styleId="52">
    <w:name w:val="批注框文本 Char32"/>
    <w:semiHidden/>
    <w:qFormat/>
    <w:uiPriority w:val="99"/>
    <w:rPr>
      <w:rFonts w:ascii="仿宋_GB2312" w:eastAsia="仿宋_GB2312" w:cs="仿宋_GB2312"/>
      <w:sz w:val="18"/>
      <w:szCs w:val="18"/>
    </w:rPr>
  </w:style>
  <w:style w:type="character" w:customStyle="1" w:styleId="53">
    <w:name w:val="批注框文本 Char31"/>
    <w:semiHidden/>
    <w:qFormat/>
    <w:uiPriority w:val="99"/>
    <w:rPr>
      <w:rFonts w:ascii="仿宋_GB2312" w:eastAsia="仿宋_GB2312" w:cs="仿宋_GB2312"/>
      <w:sz w:val="18"/>
      <w:szCs w:val="18"/>
    </w:rPr>
  </w:style>
  <w:style w:type="character" w:customStyle="1" w:styleId="54">
    <w:name w:val="页眉 Char3"/>
    <w:semiHidden/>
    <w:qFormat/>
    <w:uiPriority w:val="99"/>
    <w:rPr>
      <w:rFonts w:ascii="仿宋_GB2312" w:eastAsia="仿宋_GB2312" w:cs="仿宋_GB2312"/>
      <w:sz w:val="18"/>
      <w:szCs w:val="18"/>
    </w:rPr>
  </w:style>
  <w:style w:type="character" w:customStyle="1" w:styleId="55">
    <w:name w:val="页眉 Char32"/>
    <w:semiHidden/>
    <w:qFormat/>
    <w:uiPriority w:val="99"/>
    <w:rPr>
      <w:rFonts w:ascii="仿宋_GB2312" w:eastAsia="仿宋_GB2312" w:cs="仿宋_GB2312"/>
      <w:sz w:val="18"/>
      <w:szCs w:val="18"/>
    </w:rPr>
  </w:style>
  <w:style w:type="character" w:customStyle="1" w:styleId="56">
    <w:name w:val="页眉 Char31"/>
    <w:semiHidden/>
    <w:qFormat/>
    <w:uiPriority w:val="99"/>
    <w:rPr>
      <w:rFonts w:ascii="仿宋_GB2312" w:eastAsia="仿宋_GB2312" w:cs="仿宋_GB2312"/>
      <w:sz w:val="18"/>
      <w:szCs w:val="18"/>
    </w:rPr>
  </w:style>
  <w:style w:type="character" w:customStyle="1" w:styleId="57">
    <w:name w:val="正文文本缩进 3 Char3"/>
    <w:semiHidden/>
    <w:qFormat/>
    <w:uiPriority w:val="99"/>
    <w:rPr>
      <w:rFonts w:ascii="仿宋_GB2312" w:eastAsia="仿宋_GB2312" w:cs="仿宋_GB2312"/>
      <w:sz w:val="16"/>
      <w:szCs w:val="16"/>
    </w:rPr>
  </w:style>
  <w:style w:type="character" w:customStyle="1" w:styleId="58">
    <w:name w:val="正文文本缩进 3 Char32"/>
    <w:semiHidden/>
    <w:qFormat/>
    <w:uiPriority w:val="99"/>
    <w:rPr>
      <w:rFonts w:ascii="仿宋_GB2312" w:eastAsia="仿宋_GB2312" w:cs="仿宋_GB2312"/>
      <w:sz w:val="16"/>
      <w:szCs w:val="16"/>
    </w:rPr>
  </w:style>
  <w:style w:type="character" w:customStyle="1" w:styleId="59">
    <w:name w:val="正文文本缩进 3 Char31"/>
    <w:semiHidden/>
    <w:qFormat/>
    <w:uiPriority w:val="99"/>
    <w:rPr>
      <w:rFonts w:ascii="仿宋_GB2312" w:eastAsia="仿宋_GB2312" w:cs="仿宋_GB2312"/>
      <w:sz w:val="16"/>
      <w:szCs w:val="16"/>
    </w:rPr>
  </w:style>
  <w:style w:type="paragraph" w:customStyle="1" w:styleId="60">
    <w:name w:val="正文01"/>
    <w:basedOn w:val="1"/>
    <w:qFormat/>
    <w:uiPriority w:val="99"/>
    <w:pPr>
      <w:adjustRightInd w:val="0"/>
      <w:snapToGrid w:val="0"/>
      <w:spacing w:line="560" w:lineRule="exact"/>
      <w:ind w:firstLine="200" w:firstLineChars="200"/>
    </w:pPr>
    <w:rPr>
      <w:rFonts w:ascii="Times New Roman"/>
      <w:color w:val="000000"/>
    </w:rPr>
  </w:style>
  <w:style w:type="character" w:customStyle="1" w:styleId="61">
    <w:name w:val="正文文本缩进 2 Char3"/>
    <w:semiHidden/>
    <w:qFormat/>
    <w:uiPriority w:val="99"/>
    <w:rPr>
      <w:rFonts w:ascii="仿宋_GB2312" w:eastAsia="仿宋_GB2312" w:cs="仿宋_GB2312"/>
      <w:sz w:val="32"/>
      <w:szCs w:val="32"/>
    </w:rPr>
  </w:style>
  <w:style w:type="character" w:customStyle="1" w:styleId="62">
    <w:name w:val="正文文本缩进 2 Char32"/>
    <w:semiHidden/>
    <w:qFormat/>
    <w:uiPriority w:val="99"/>
    <w:rPr>
      <w:rFonts w:ascii="仿宋_GB2312" w:eastAsia="仿宋_GB2312" w:cs="仿宋_GB2312"/>
      <w:sz w:val="32"/>
      <w:szCs w:val="32"/>
    </w:rPr>
  </w:style>
  <w:style w:type="character" w:customStyle="1" w:styleId="63">
    <w:name w:val="正文文本缩进 2 Char31"/>
    <w:semiHidden/>
    <w:qFormat/>
    <w:uiPriority w:val="99"/>
    <w:rPr>
      <w:rFonts w:ascii="仿宋_GB2312" w:eastAsia="仿宋_GB2312" w:cs="仿宋_GB2312"/>
      <w:sz w:val="32"/>
      <w:szCs w:val="32"/>
    </w:rPr>
  </w:style>
  <w:style w:type="character" w:customStyle="1" w:styleId="64">
    <w:name w:val="页脚 Char3"/>
    <w:semiHidden/>
    <w:qFormat/>
    <w:uiPriority w:val="99"/>
    <w:rPr>
      <w:rFonts w:ascii="仿宋_GB2312" w:eastAsia="仿宋_GB2312" w:cs="仿宋_GB2312"/>
      <w:sz w:val="18"/>
      <w:szCs w:val="18"/>
    </w:rPr>
  </w:style>
  <w:style w:type="character" w:customStyle="1" w:styleId="65">
    <w:name w:val="页脚 Char32"/>
    <w:semiHidden/>
    <w:qFormat/>
    <w:uiPriority w:val="99"/>
    <w:rPr>
      <w:rFonts w:ascii="仿宋_GB2312" w:eastAsia="仿宋_GB2312" w:cs="仿宋_GB2312"/>
      <w:sz w:val="18"/>
      <w:szCs w:val="18"/>
    </w:rPr>
  </w:style>
  <w:style w:type="character" w:customStyle="1" w:styleId="66">
    <w:name w:val="页脚 Char31"/>
    <w:semiHidden/>
    <w:qFormat/>
    <w:uiPriority w:val="99"/>
    <w:rPr>
      <w:rFonts w:ascii="仿宋_GB2312" w:eastAsia="仿宋_GB2312" w:cs="仿宋_GB2312"/>
      <w:sz w:val="18"/>
      <w:szCs w:val="18"/>
    </w:rPr>
  </w:style>
  <w:style w:type="character" w:customStyle="1" w:styleId="67">
    <w:name w:val="正文文本缩进 Char3"/>
    <w:semiHidden/>
    <w:qFormat/>
    <w:uiPriority w:val="99"/>
    <w:rPr>
      <w:rFonts w:ascii="仿宋_GB2312" w:eastAsia="仿宋_GB2312" w:cs="仿宋_GB2312"/>
      <w:sz w:val="32"/>
      <w:szCs w:val="32"/>
    </w:rPr>
  </w:style>
  <w:style w:type="character" w:customStyle="1" w:styleId="68">
    <w:name w:val="正文文本缩进 Char32"/>
    <w:semiHidden/>
    <w:qFormat/>
    <w:uiPriority w:val="99"/>
    <w:rPr>
      <w:rFonts w:ascii="仿宋_GB2312" w:eastAsia="仿宋_GB2312" w:cs="仿宋_GB2312"/>
      <w:sz w:val="32"/>
      <w:szCs w:val="32"/>
    </w:rPr>
  </w:style>
  <w:style w:type="character" w:customStyle="1" w:styleId="69">
    <w:name w:val="正文文本缩进 Char31"/>
    <w:semiHidden/>
    <w:qFormat/>
    <w:uiPriority w:val="99"/>
    <w:rPr>
      <w:rFonts w:ascii="仿宋_GB2312" w:eastAsia="仿宋_GB2312" w:cs="仿宋_GB2312"/>
      <w:sz w:val="32"/>
      <w:szCs w:val="32"/>
    </w:rPr>
  </w:style>
  <w:style w:type="character" w:customStyle="1" w:styleId="70">
    <w:name w:val="正文文本 Char3"/>
    <w:semiHidden/>
    <w:qFormat/>
    <w:uiPriority w:val="99"/>
    <w:rPr>
      <w:rFonts w:ascii="仿宋_GB2312" w:eastAsia="仿宋_GB2312" w:cs="仿宋_GB2312"/>
      <w:sz w:val="32"/>
      <w:szCs w:val="32"/>
    </w:rPr>
  </w:style>
  <w:style w:type="character" w:customStyle="1" w:styleId="71">
    <w:name w:val="正文文本 Char32"/>
    <w:semiHidden/>
    <w:qFormat/>
    <w:uiPriority w:val="99"/>
    <w:rPr>
      <w:rFonts w:ascii="仿宋_GB2312" w:eastAsia="仿宋_GB2312" w:cs="仿宋_GB2312"/>
      <w:sz w:val="32"/>
      <w:szCs w:val="32"/>
    </w:rPr>
  </w:style>
  <w:style w:type="character" w:customStyle="1" w:styleId="72">
    <w:name w:val="正文文本 Char31"/>
    <w:semiHidden/>
    <w:qFormat/>
    <w:uiPriority w:val="99"/>
    <w:rPr>
      <w:rFonts w:ascii="仿宋_GB2312" w:eastAsia="仿宋_GB2312" w:cs="仿宋_GB2312"/>
      <w:sz w:val="32"/>
      <w:szCs w:val="32"/>
    </w:rPr>
  </w:style>
  <w:style w:type="paragraph" w:customStyle="1" w:styleId="73">
    <w:name w:val="_Style 1"/>
    <w:basedOn w:val="1"/>
    <w:qFormat/>
    <w:uiPriority w:val="99"/>
    <w:rPr>
      <w:rFonts w:ascii="宋体" w:eastAsia="宋体" w:cs="宋体"/>
    </w:rPr>
  </w:style>
  <w:style w:type="paragraph" w:customStyle="1" w:styleId="74">
    <w:name w:val="Char1"/>
    <w:basedOn w:val="1"/>
    <w:qFormat/>
    <w:uiPriority w:val="99"/>
    <w:pPr>
      <w:spacing w:line="360" w:lineRule="auto"/>
      <w:ind w:firstLine="200" w:firstLineChars="200"/>
    </w:pPr>
    <w:rPr>
      <w:rFonts w:ascii="宋体" w:hAnsi="宋体" w:eastAsia="宋体" w:cs="宋体"/>
      <w:sz w:val="24"/>
      <w:szCs w:val="24"/>
    </w:rPr>
  </w:style>
  <w:style w:type="paragraph" w:customStyle="1" w:styleId="75">
    <w:name w:val="一级标题"/>
    <w:basedOn w:val="1"/>
    <w:qFormat/>
    <w:uiPriority w:val="99"/>
    <w:pPr>
      <w:adjustRightInd w:val="0"/>
      <w:snapToGrid w:val="0"/>
      <w:jc w:val="center"/>
      <w:outlineLvl w:val="0"/>
    </w:pPr>
    <w:rPr>
      <w:rFonts w:ascii="Times New Roman" w:eastAsia="方正小标宋简体" w:cs="方正小标宋简体"/>
      <w:sz w:val="44"/>
      <w:szCs w:val="44"/>
    </w:rPr>
  </w:style>
  <w:style w:type="paragraph" w:customStyle="1" w:styleId="76">
    <w:name w:val="Char Char Char Char"/>
    <w:basedOn w:val="1"/>
    <w:qFormat/>
    <w:uiPriority w:val="99"/>
    <w:pPr>
      <w:widowControl/>
      <w:spacing w:after="160" w:line="240" w:lineRule="exact"/>
      <w:jc w:val="left"/>
    </w:pPr>
    <w:rPr>
      <w:rFonts w:ascii="Verdana" w:hAnsi="Verdana"/>
      <w:sz w:val="24"/>
      <w:szCs w:val="24"/>
      <w:lang w:eastAsia="en-US"/>
    </w:rPr>
  </w:style>
  <w:style w:type="paragraph" w:customStyle="1" w:styleId="77">
    <w:name w:val="Char Char Char Char Char Char Char"/>
    <w:basedOn w:val="1"/>
    <w:qFormat/>
    <w:uiPriority w:val="99"/>
    <w:pPr>
      <w:widowControl/>
      <w:spacing w:after="160" w:line="240" w:lineRule="exact"/>
      <w:jc w:val="left"/>
    </w:pPr>
    <w:rPr>
      <w:rFonts w:ascii="Arial" w:hAnsi="Arial" w:eastAsia="宋体" w:cs="宋体"/>
      <w:b/>
      <w:bCs/>
      <w:lang w:eastAsia="en-US"/>
    </w:rPr>
  </w:style>
  <w:style w:type="paragraph" w:customStyle="1" w:styleId="78">
    <w:name w:val="二级标题"/>
    <w:basedOn w:val="1"/>
    <w:qFormat/>
    <w:uiPriority w:val="99"/>
    <w:pPr>
      <w:spacing w:line="560" w:lineRule="exact"/>
      <w:ind w:firstLine="200" w:firstLineChars="200"/>
      <w:outlineLvl w:val="1"/>
    </w:pPr>
    <w:rPr>
      <w:rFonts w:ascii="Times New Roman" w:eastAsia="黑体" w:cs="黑体"/>
    </w:rPr>
  </w:style>
  <w:style w:type="paragraph" w:customStyle="1" w:styleId="79">
    <w:name w:val="Char"/>
    <w:basedOn w:val="1"/>
    <w:qFormat/>
    <w:uiPriority w:val="99"/>
    <w:rPr>
      <w:b/>
      <w:bCs/>
    </w:rPr>
  </w:style>
  <w:style w:type="character" w:customStyle="1" w:styleId="80">
    <w:name w:val="纯文本 Char"/>
    <w:link w:val="5"/>
    <w:qFormat/>
    <w:locked/>
    <w:uiPriority w:val="0"/>
    <w:rPr>
      <w:rFonts w:ascii="宋体" w:hAnsi="Courier New"/>
      <w:szCs w:val="21"/>
    </w:rPr>
  </w:style>
  <w:style w:type="character" w:customStyle="1" w:styleId="81">
    <w:name w:val="纯文本 Char1"/>
    <w:basedOn w:val="15"/>
    <w:link w:val="5"/>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3677</Words>
  <Characters>3745</Characters>
  <Lines>27</Lines>
  <Paragraphs>7</Paragraphs>
  <TotalTime>7</TotalTime>
  <ScaleCrop>false</ScaleCrop>
  <LinksUpToDate>false</LinksUpToDate>
  <CharactersWithSpaces>3752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2021-12-31T15:24:00Z</dcterms:created>
  <dc:creator>Administrator</dc:creator>
  <cp:lastModifiedBy>红色丶彼岸花</cp:lastModifiedBy>
  <cp:lastPrinted>2021-01-19T08:28:00Z</cp:lastPrinted>
  <dcterms:modified xsi:type="dcterms:W3CDTF">2024-04-25T00:56:40Z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FB6A83C495B947C3989C63CFEAB64D5A</vt:lpwstr>
  </property>
</Properties>
</file>