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eastAsia" w:ascii="方正小标宋简体" w:hAnsi="方正小标宋简体" w:eastAsia="方正小标宋简体" w:cs="方正小标宋简体"/>
          <w:b/>
          <w:bCs/>
          <w:sz w:val="24"/>
          <w:szCs w:val="24"/>
        </w:rPr>
      </w:pPr>
      <w:r>
        <w:rPr>
          <w:rFonts w:hint="eastAsia" w:ascii="方正小标宋简体" w:hAnsi="方正小标宋简体" w:eastAsia="方正小标宋简体" w:cs="方正小标宋简体"/>
          <w:b/>
          <w:bCs/>
          <w:sz w:val="24"/>
          <w:szCs w:val="24"/>
          <w:lang w:val="en-US" w:eastAsia="zh-CN"/>
        </w:rPr>
        <w:t>油车港镇2-29单元和2-30单元规划</w:t>
      </w:r>
      <w:r>
        <w:rPr>
          <w:rFonts w:hint="eastAsia" w:ascii="方正小标宋简体" w:hAnsi="方正小标宋简体" w:eastAsia="方正小标宋简体" w:cs="方正小标宋简体"/>
          <w:b/>
          <w:bCs/>
          <w:sz w:val="24"/>
          <w:szCs w:val="24"/>
        </w:rPr>
        <w:t>环境影响评价第</w:t>
      </w:r>
      <w:r>
        <w:rPr>
          <w:rFonts w:hint="eastAsia" w:ascii="方正小标宋简体" w:hAnsi="方正小标宋简体" w:eastAsia="方正小标宋简体" w:cs="方正小标宋简体"/>
          <w:b/>
          <w:bCs/>
          <w:sz w:val="24"/>
          <w:szCs w:val="24"/>
          <w:lang w:val="en-US" w:eastAsia="zh-CN"/>
        </w:rPr>
        <w:t>二</w:t>
      </w:r>
      <w:r>
        <w:rPr>
          <w:rFonts w:hint="eastAsia" w:ascii="方正小标宋简体" w:hAnsi="方正小标宋简体" w:eastAsia="方正小标宋简体" w:cs="方正小标宋简体"/>
          <w:b/>
          <w:bCs/>
          <w:sz w:val="24"/>
          <w:szCs w:val="24"/>
        </w:rPr>
        <w:t>轮公告</w:t>
      </w:r>
    </w:p>
    <w:p>
      <w:pPr>
        <w:bidi w:val="0"/>
        <w:ind w:firstLine="420" w:firstLineChars="0"/>
      </w:pPr>
      <w:r>
        <w:rPr>
          <w:rFonts w:hint="default"/>
        </w:rPr>
        <w:t>根据《中华人民共和国环境影响评价法》、《规划环境影响评价条例》及《环境影响评价公众参与办法》等有关规定，为了让公众充分了解本规划，接受公众的监督，征求公众意见，现对本次规划环评公众参与的有关信息予以公告，公告如下：</w:t>
      </w:r>
    </w:p>
    <w:p>
      <w:pPr>
        <w:numPr>
          <w:ilvl w:val="0"/>
          <w:numId w:val="1"/>
        </w:numPr>
        <w:rPr>
          <w:rFonts w:hint="eastAsia"/>
          <w:b/>
          <w:bCs/>
        </w:rPr>
      </w:pPr>
      <w:r>
        <w:rPr>
          <w:rFonts w:hint="eastAsia"/>
          <w:b/>
          <w:bCs/>
          <w:lang w:val="en-US" w:eastAsia="zh-CN"/>
        </w:rPr>
        <w:t>本次</w:t>
      </w:r>
      <w:r>
        <w:rPr>
          <w:rFonts w:hint="eastAsia"/>
          <w:b/>
          <w:bCs/>
        </w:rPr>
        <w:t>规划概况</w:t>
      </w:r>
    </w:p>
    <w:p>
      <w:pPr>
        <w:numPr>
          <w:ilvl w:val="0"/>
          <w:numId w:val="0"/>
        </w:numPr>
        <w:rPr>
          <w:rFonts w:hint="default"/>
          <w:lang w:eastAsia="zh-CN"/>
        </w:rPr>
      </w:pPr>
      <w:r>
        <w:rPr>
          <w:rFonts w:hint="eastAsia"/>
          <w:b/>
          <w:bCs/>
          <w:lang w:eastAsia="zh-CN"/>
        </w:rPr>
        <w:t>（</w:t>
      </w:r>
      <w:r>
        <w:rPr>
          <w:rFonts w:hint="eastAsia"/>
          <w:b/>
          <w:bCs/>
          <w:lang w:val="en-US" w:eastAsia="zh-CN"/>
        </w:rPr>
        <w:t>一</w:t>
      </w:r>
      <w:r>
        <w:rPr>
          <w:rFonts w:hint="eastAsia"/>
          <w:b/>
          <w:bCs/>
          <w:lang w:eastAsia="zh-CN"/>
        </w:rPr>
        <w:t>）</w:t>
      </w:r>
      <w:r>
        <w:rPr>
          <w:rFonts w:hint="default"/>
          <w:b/>
          <w:bCs/>
        </w:rPr>
        <w:t>规划名称</w:t>
      </w:r>
      <w:r>
        <w:rPr>
          <w:rFonts w:hint="default"/>
        </w:rPr>
        <w:t>：</w:t>
      </w:r>
      <w:r>
        <w:rPr>
          <w:rFonts w:hint="default"/>
          <w:lang w:eastAsia="zh-CN"/>
        </w:rPr>
        <w:t>《</w:t>
      </w:r>
      <w:r>
        <w:rPr>
          <w:rFonts w:hint="default"/>
        </w:rPr>
        <w:t>油车港镇镇区2-29单元控制性详细规划</w:t>
      </w:r>
      <w:r>
        <w:rPr>
          <w:rFonts w:hint="default"/>
          <w:lang w:eastAsia="zh-CN"/>
        </w:rPr>
        <w:t>》、《油车港镇镇区2-</w:t>
      </w:r>
      <w:r>
        <w:rPr>
          <w:rFonts w:hint="default"/>
          <w:lang w:val="en-US" w:eastAsia="zh-CN"/>
        </w:rPr>
        <w:t>30</w:t>
      </w:r>
      <w:r>
        <w:rPr>
          <w:rFonts w:hint="default"/>
          <w:lang w:eastAsia="zh-CN"/>
        </w:rPr>
        <w:t>单元控制性详细规划》</w:t>
      </w:r>
    </w:p>
    <w:p>
      <w:pPr>
        <w:numPr>
          <w:ilvl w:val="0"/>
          <w:numId w:val="0"/>
        </w:numPr>
        <w:rPr>
          <w:rFonts w:hint="default"/>
          <w:lang w:eastAsia="zh-CN"/>
        </w:rPr>
      </w:pPr>
      <w:r>
        <w:rPr>
          <w:rFonts w:hint="eastAsia"/>
          <w:b/>
          <w:bCs/>
          <w:lang w:val="en-US" w:eastAsia="zh-CN"/>
        </w:rPr>
        <w:t>（二）</w:t>
      </w:r>
      <w:r>
        <w:rPr>
          <w:rFonts w:hint="default"/>
          <w:b/>
          <w:bCs/>
          <w:lang w:val="en-US" w:eastAsia="zh-CN"/>
        </w:rPr>
        <w:t>规划目的</w:t>
      </w:r>
      <w:r>
        <w:rPr>
          <w:rFonts w:hint="default"/>
          <w:lang w:val="en-US" w:eastAsia="zh-CN"/>
        </w:rPr>
        <w:t>：</w:t>
      </w:r>
      <w:r>
        <w:rPr>
          <w:rFonts w:hint="default"/>
        </w:rPr>
        <w:t>为了加强</w:t>
      </w:r>
      <w:r>
        <w:rPr>
          <w:rFonts w:hint="default"/>
          <w:lang w:val="en-US" w:eastAsia="zh-CN"/>
        </w:rPr>
        <w:t>对2-29单元和2-30单元</w:t>
      </w:r>
      <w:r>
        <w:rPr>
          <w:rFonts w:hint="default"/>
        </w:rPr>
        <w:t>的规划管理，协调单元与</w:t>
      </w:r>
      <w:r>
        <w:rPr>
          <w:rFonts w:hint="eastAsia"/>
          <w:lang w:val="en-US" w:eastAsia="zh-CN"/>
        </w:rPr>
        <w:t>油车港镇</w:t>
      </w:r>
      <w:r>
        <w:rPr>
          <w:rFonts w:hint="default"/>
        </w:rPr>
        <w:t>整个镇区之间的关系，促进单元的合理开发与建设</w:t>
      </w:r>
      <w:r>
        <w:rPr>
          <w:rFonts w:hint="eastAsia"/>
          <w:lang w:eastAsia="zh-CN"/>
        </w:rPr>
        <w:t>。</w:t>
      </w:r>
    </w:p>
    <w:p>
      <w:pPr>
        <w:numPr>
          <w:ilvl w:val="0"/>
          <w:numId w:val="0"/>
        </w:numPr>
        <w:rPr>
          <w:rFonts w:hint="default"/>
          <w:lang w:val="en-US" w:eastAsia="zh-CN"/>
        </w:rPr>
      </w:pPr>
      <w:r>
        <w:rPr>
          <w:rFonts w:hint="eastAsia"/>
          <w:b/>
          <w:bCs/>
          <w:lang w:eastAsia="zh-CN"/>
        </w:rPr>
        <w:t>（</w:t>
      </w:r>
      <w:r>
        <w:rPr>
          <w:rFonts w:hint="eastAsia"/>
          <w:b/>
          <w:bCs/>
          <w:lang w:val="en-US" w:eastAsia="zh-CN"/>
        </w:rPr>
        <w:t>三</w:t>
      </w:r>
      <w:r>
        <w:rPr>
          <w:rFonts w:hint="eastAsia"/>
          <w:b/>
          <w:bCs/>
          <w:lang w:eastAsia="zh-CN"/>
        </w:rPr>
        <w:t>）</w:t>
      </w:r>
      <w:r>
        <w:rPr>
          <w:rFonts w:hint="default"/>
          <w:b/>
          <w:bCs/>
        </w:rPr>
        <w:t>规划范围</w:t>
      </w:r>
      <w:r>
        <w:rPr>
          <w:rFonts w:hint="default"/>
        </w:rPr>
        <w:t>：</w:t>
      </w:r>
      <w:r>
        <w:rPr>
          <w:rFonts w:hint="default"/>
          <w:lang w:val="en-US" w:eastAsia="zh-CN"/>
        </w:rPr>
        <w:t>油车港镇</w:t>
      </w:r>
      <w:r>
        <w:rPr>
          <w:rFonts w:hint="default"/>
        </w:rPr>
        <w:t>2-29单元</w:t>
      </w:r>
      <w:r>
        <w:rPr>
          <w:rFonts w:hint="default"/>
          <w:lang w:val="en-US" w:eastAsia="zh-CN"/>
        </w:rPr>
        <w:t>为</w:t>
      </w:r>
      <w:r>
        <w:rPr>
          <w:rFonts w:hint="default"/>
        </w:rPr>
        <w:t>北起规划环湖路，西临东方路，东至规划昌鸣路，南到正阳路，规划总用地面积为3.05平方公里</w:t>
      </w:r>
      <w:r>
        <w:rPr>
          <w:rFonts w:hint="default"/>
          <w:lang w:eastAsia="zh-CN"/>
        </w:rPr>
        <w:t>；</w:t>
      </w:r>
      <w:r>
        <w:rPr>
          <w:rFonts w:hint="default"/>
          <w:lang w:val="en-US" w:eastAsia="zh-CN"/>
        </w:rPr>
        <w:t>油车港镇2-30单元为北起正阳路，西临东方路，东至规划昌鸣路及工业区用地边界，南到北郊河，总用地3.46平方公里；共6.51平方公里。</w:t>
      </w:r>
    </w:p>
    <w:p>
      <w:pPr>
        <w:numPr>
          <w:ilvl w:val="0"/>
          <w:numId w:val="0"/>
        </w:numPr>
        <w:rPr>
          <w:rFonts w:hint="eastAsia"/>
          <w:lang w:val="en-US" w:eastAsia="zh-CN"/>
        </w:rPr>
      </w:pPr>
      <w:r>
        <w:rPr>
          <w:rFonts w:hint="eastAsia"/>
          <w:b/>
          <w:bCs/>
          <w:lang w:val="en-US" w:eastAsia="zh-CN"/>
        </w:rPr>
        <w:t>（四）规划用地图</w:t>
      </w:r>
      <w:r>
        <w:rPr>
          <w:rFonts w:hint="eastAsia"/>
          <w:lang w:val="en-US" w:eastAsia="zh-CN"/>
        </w:rPr>
        <w:t>：</w:t>
      </w:r>
    </w:p>
    <w:p>
      <w:pPr>
        <w:numPr>
          <w:ilvl w:val="0"/>
          <w:numId w:val="0"/>
        </w:numPr>
      </w:pPr>
      <w:r>
        <w:drawing>
          <wp:inline distT="0" distB="0" distL="114300" distR="114300">
            <wp:extent cx="5257800" cy="3491865"/>
            <wp:effectExtent l="0" t="0" r="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7330"/>
                    <a:stretch>
                      <a:fillRect/>
                    </a:stretch>
                  </pic:blipFill>
                  <pic:spPr>
                    <a:xfrm>
                      <a:off x="0" y="0"/>
                      <a:ext cx="5257800" cy="3491865"/>
                    </a:xfrm>
                    <a:prstGeom prst="rect">
                      <a:avLst/>
                    </a:prstGeom>
                    <a:noFill/>
                    <a:ln>
                      <a:noFill/>
                    </a:ln>
                  </pic:spPr>
                </pic:pic>
              </a:graphicData>
            </a:graphic>
          </wp:inline>
        </w:drawing>
      </w:r>
    </w:p>
    <w:p>
      <w:pPr>
        <w:pStyle w:val="2"/>
        <w:numPr>
          <w:ilvl w:val="0"/>
          <w:numId w:val="0"/>
        </w:numPr>
        <w:jc w:val="center"/>
        <w:rPr>
          <w:rFonts w:hint="default" w:eastAsia="黑体"/>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val="en-US" w:eastAsia="zh-CN"/>
        </w:rPr>
        <w:t xml:space="preserve"> 油车港镇2-29单元控制性详细规划用地图</w:t>
      </w:r>
    </w:p>
    <w:p>
      <w:pPr>
        <w:numPr>
          <w:ilvl w:val="0"/>
          <w:numId w:val="0"/>
        </w:numPr>
      </w:pPr>
      <w:r>
        <w:drawing>
          <wp:inline distT="0" distB="0" distL="114300" distR="114300">
            <wp:extent cx="5257800" cy="3482975"/>
            <wp:effectExtent l="0" t="0" r="0" b="222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b="7567"/>
                    <a:stretch>
                      <a:fillRect/>
                    </a:stretch>
                  </pic:blipFill>
                  <pic:spPr>
                    <a:xfrm>
                      <a:off x="0" y="0"/>
                      <a:ext cx="5257800" cy="3482975"/>
                    </a:xfrm>
                    <a:prstGeom prst="rect">
                      <a:avLst/>
                    </a:prstGeom>
                    <a:noFill/>
                    <a:ln>
                      <a:noFill/>
                    </a:ln>
                  </pic:spPr>
                </pic:pic>
              </a:graphicData>
            </a:graphic>
          </wp:inline>
        </w:drawing>
      </w:r>
    </w:p>
    <w:p>
      <w:pPr>
        <w:pStyle w:val="2"/>
        <w:numPr>
          <w:ilvl w:val="0"/>
          <w:numId w:val="0"/>
        </w:numPr>
        <w:jc w:val="center"/>
        <w:rPr>
          <w:rFonts w:hint="eastAsia"/>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val="en-US" w:eastAsia="zh-CN"/>
        </w:rPr>
        <w:t xml:space="preserve"> 油车港镇2-30单元控制性详细规划用地图</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0"/>
        <w:textAlignment w:val="auto"/>
        <w:rPr>
          <w:rFonts w:hint="eastAsia"/>
          <w:sz w:val="21"/>
          <w:szCs w:val="21"/>
        </w:rPr>
      </w:pPr>
      <w:r>
        <w:rPr>
          <w:rFonts w:hint="eastAsia"/>
          <w:b/>
          <w:bCs/>
          <w:sz w:val="21"/>
          <w:szCs w:val="21"/>
        </w:rPr>
        <w:t>功能定位</w:t>
      </w:r>
      <w:r>
        <w:rPr>
          <w:rFonts w:hint="eastAsia"/>
          <w:sz w:val="21"/>
          <w:szCs w:val="21"/>
        </w:rPr>
        <w:t>：规划油车港镇区定位为一个以“休闲、生活、商务”为主题，以湖荡景观、水乡文化为特色，集运动养生、郊游观光、度假疗养、品质生活于一体，并与现代服务产业、文化创意产业相结合的城市综合功能新区。油车港镇2-29单元功能定位：油车港镇区集行政办公、商业娱乐、高档居住及高端产业为主镇区综合服务中心，利用南官荡良好的生态资源和镇区大型公共基础设施的建设，建设现代化的综合新市镇中心。油车港镇2-30单元功能定位：依托单元内良好的现状基础，加快第二产业向第三产业转型，形成居住与工业产业共同发展的综合生活生产片区。该单元利用绿道、水系等景观资源，上与北部南官荡景区相呼应，下与南部嘉兴市中心城区隔河相望，是嘉兴中心城区进入油车港镇的第一张脸，在油车港镇区内起到“承上启下”的作用。</w:t>
      </w:r>
    </w:p>
    <w:p>
      <w:pPr>
        <w:numPr>
          <w:ilvl w:val="0"/>
          <w:numId w:val="1"/>
        </w:numPr>
        <w:rPr>
          <w:rFonts w:hint="eastAsia"/>
          <w:b/>
          <w:bCs/>
        </w:rPr>
      </w:pPr>
      <w:r>
        <w:rPr>
          <w:rFonts w:hint="eastAsia"/>
          <w:b/>
          <w:bCs/>
          <w:lang w:val="en-US" w:eastAsia="zh-CN"/>
        </w:rPr>
        <w:t>规划可能产生的主要环境影响</w:t>
      </w:r>
    </w:p>
    <w:p>
      <w:pPr>
        <w:bidi w:val="0"/>
        <w:rPr>
          <w:rFonts w:hint="eastAsia"/>
          <w:b/>
          <w:bCs/>
          <w:highlight w:val="none"/>
        </w:rPr>
      </w:pPr>
      <w:r>
        <w:rPr>
          <w:rFonts w:hint="eastAsia"/>
          <w:b/>
          <w:bCs/>
          <w:highlight w:val="none"/>
          <w:lang w:eastAsia="zh-CN"/>
        </w:rPr>
        <w:t>（</w:t>
      </w:r>
      <w:r>
        <w:rPr>
          <w:rFonts w:hint="eastAsia"/>
          <w:b/>
          <w:bCs/>
          <w:highlight w:val="none"/>
          <w:lang w:val="en-US" w:eastAsia="zh-CN"/>
        </w:rPr>
        <w:t>一</w:t>
      </w:r>
      <w:r>
        <w:rPr>
          <w:rFonts w:hint="eastAsia"/>
          <w:b/>
          <w:bCs/>
          <w:highlight w:val="none"/>
          <w:lang w:eastAsia="zh-CN"/>
        </w:rPr>
        <w:t>）</w:t>
      </w:r>
      <w:r>
        <w:rPr>
          <w:rFonts w:hint="eastAsia"/>
          <w:b/>
          <w:bCs/>
          <w:highlight w:val="none"/>
        </w:rPr>
        <w:t>规划实施大气环境影响分析</w:t>
      </w:r>
    </w:p>
    <w:p>
      <w:pPr>
        <w:bidi w:val="0"/>
        <w:ind w:firstLine="420" w:firstLineChars="200"/>
        <w:rPr>
          <w:rFonts w:hint="eastAsia"/>
          <w:highlight w:val="none"/>
        </w:rPr>
      </w:pPr>
      <w:r>
        <w:rPr>
          <w:rFonts w:hint="eastAsia"/>
          <w:highlight w:val="none"/>
        </w:rPr>
        <w:t>根据本次预测结果可知：规划实施后，</w:t>
      </w:r>
      <w:r>
        <w:rPr>
          <w:rFonts w:hint="eastAsia"/>
          <w:highlight w:val="none"/>
          <w:lang w:val="en-US" w:eastAsia="zh-CN"/>
        </w:rPr>
        <w:t>预测排放量小于环境允许排放总量限制。</w:t>
      </w:r>
      <w:r>
        <w:rPr>
          <w:rFonts w:hint="eastAsia"/>
          <w:highlight w:val="none"/>
        </w:rPr>
        <w:t>因此可认为规划实施后，大气环境影响是可以接受的。</w:t>
      </w:r>
    </w:p>
    <w:p>
      <w:pPr>
        <w:numPr>
          <w:ilvl w:val="0"/>
          <w:numId w:val="3"/>
        </w:numPr>
        <w:spacing w:line="240" w:lineRule="auto"/>
        <w:rPr>
          <w:rFonts w:hint="eastAsia"/>
          <w:b/>
          <w:bCs/>
          <w:sz w:val="21"/>
          <w:szCs w:val="21"/>
          <w:highlight w:val="none"/>
        </w:rPr>
      </w:pPr>
      <w:r>
        <w:rPr>
          <w:rFonts w:hint="eastAsia"/>
          <w:b/>
          <w:bCs/>
          <w:sz w:val="21"/>
          <w:szCs w:val="21"/>
          <w:highlight w:val="none"/>
        </w:rPr>
        <w:t>规划实施水环境影响分析</w:t>
      </w:r>
    </w:p>
    <w:p>
      <w:pPr>
        <w:numPr>
          <w:ilvl w:val="0"/>
          <w:numId w:val="0"/>
        </w:numPr>
        <w:spacing w:line="240" w:lineRule="auto"/>
        <w:rPr>
          <w:rFonts w:hint="eastAsia"/>
          <w:sz w:val="21"/>
          <w:szCs w:val="21"/>
          <w:highlight w:val="none"/>
        </w:rPr>
      </w:pPr>
      <w:r>
        <w:rPr>
          <w:rFonts w:hint="eastAsia"/>
          <w:sz w:val="21"/>
          <w:szCs w:val="21"/>
          <w:highlight w:val="none"/>
          <w:lang w:val="en-US" w:eastAsia="zh-CN"/>
        </w:rPr>
        <w:t>1、</w:t>
      </w:r>
      <w:r>
        <w:rPr>
          <w:rFonts w:hint="eastAsia"/>
          <w:sz w:val="21"/>
          <w:szCs w:val="21"/>
          <w:highlight w:val="none"/>
        </w:rPr>
        <w:t>地表水</w:t>
      </w:r>
    </w:p>
    <w:p>
      <w:pPr>
        <w:numPr>
          <w:ilvl w:val="0"/>
          <w:numId w:val="0"/>
        </w:numPr>
        <w:spacing w:line="240" w:lineRule="auto"/>
        <w:ind w:firstLine="420" w:firstLineChars="200"/>
        <w:rPr>
          <w:rFonts w:hint="eastAsia"/>
          <w:sz w:val="21"/>
          <w:szCs w:val="21"/>
          <w:highlight w:val="none"/>
        </w:rPr>
      </w:pPr>
      <w:r>
        <w:rPr>
          <w:rFonts w:hint="eastAsia"/>
          <w:sz w:val="21"/>
          <w:szCs w:val="21"/>
          <w:highlight w:val="none"/>
        </w:rPr>
        <w:t>根据规划实施前后用地布局变化情况，结合规划区污水收集情况，区域内各类工业废水、生活污水均收集排入</w:t>
      </w:r>
      <w:r>
        <w:rPr>
          <w:rFonts w:hint="eastAsia"/>
          <w:sz w:val="21"/>
          <w:szCs w:val="21"/>
          <w:highlight w:val="none"/>
          <w:lang w:val="en-US" w:eastAsia="zh-CN"/>
        </w:rPr>
        <w:t>城市联合污水处理厂</w:t>
      </w:r>
      <w:r>
        <w:rPr>
          <w:rFonts w:hint="eastAsia"/>
          <w:sz w:val="21"/>
          <w:szCs w:val="21"/>
          <w:highlight w:val="none"/>
        </w:rPr>
        <w:t>；规划区农林用地不增加，农田径流污染源不会增加，不会对区域地表水环境产生进一定的影响。而雨水一般较为清洁，直接排放不会对地表水水质造成明显影响。</w:t>
      </w:r>
    </w:p>
    <w:p>
      <w:pPr>
        <w:numPr>
          <w:ilvl w:val="0"/>
          <w:numId w:val="0"/>
        </w:numPr>
        <w:spacing w:line="240" w:lineRule="auto"/>
        <w:rPr>
          <w:rFonts w:hint="eastAsia"/>
          <w:sz w:val="21"/>
          <w:szCs w:val="21"/>
          <w:highlight w:val="none"/>
        </w:rPr>
      </w:pPr>
      <w:r>
        <w:rPr>
          <w:rFonts w:hint="eastAsia"/>
          <w:sz w:val="21"/>
          <w:szCs w:val="21"/>
          <w:highlight w:val="none"/>
          <w:lang w:val="en-US" w:eastAsia="zh-CN"/>
        </w:rPr>
        <w:t>2、</w:t>
      </w:r>
      <w:r>
        <w:rPr>
          <w:rFonts w:hint="eastAsia"/>
          <w:sz w:val="21"/>
          <w:szCs w:val="21"/>
          <w:highlight w:val="none"/>
        </w:rPr>
        <w:t>地下水</w:t>
      </w:r>
    </w:p>
    <w:p>
      <w:pPr>
        <w:numPr>
          <w:ilvl w:val="0"/>
          <w:numId w:val="0"/>
        </w:numPr>
        <w:spacing w:line="240" w:lineRule="auto"/>
        <w:ind w:firstLine="420" w:firstLineChars="200"/>
        <w:rPr>
          <w:rFonts w:hint="eastAsia"/>
          <w:sz w:val="21"/>
          <w:szCs w:val="21"/>
          <w:highlight w:val="none"/>
        </w:rPr>
      </w:pPr>
      <w:r>
        <w:rPr>
          <w:rFonts w:hint="eastAsia"/>
          <w:sz w:val="21"/>
          <w:szCs w:val="21"/>
          <w:highlight w:val="none"/>
        </w:rPr>
        <w:t>只要区块内企业在严格落实本环评提出的减缓措施的基础上，加强污染物源头控制，做好事故风险防范工作，做好厂内地面的硬化、防腐、防渗工作，按照本报告提出的地下水监控计划做好规划区的地下水水质监测工作，可有效控制厂区内废水污染物的下渗现象，则区内企业污染物不会对区域地下水环境造成明显影响，对规划区地下水环境造成的影响程度较小。</w:t>
      </w:r>
    </w:p>
    <w:p>
      <w:pPr>
        <w:numPr>
          <w:ilvl w:val="0"/>
          <w:numId w:val="0"/>
        </w:numPr>
        <w:spacing w:line="240" w:lineRule="auto"/>
        <w:rPr>
          <w:rFonts w:hint="default"/>
          <w:sz w:val="21"/>
          <w:szCs w:val="21"/>
          <w:highlight w:val="none"/>
          <w:lang w:val="en-US"/>
        </w:rPr>
      </w:pPr>
      <w:r>
        <w:rPr>
          <w:rFonts w:hint="eastAsia"/>
          <w:sz w:val="21"/>
          <w:szCs w:val="21"/>
          <w:highlight w:val="none"/>
          <w:lang w:val="en-US" w:eastAsia="zh-CN"/>
        </w:rPr>
        <w:t>3、周围海域</w:t>
      </w:r>
    </w:p>
    <w:p>
      <w:pPr>
        <w:ind w:firstLine="480"/>
        <w:rPr>
          <w:rFonts w:hint="default" w:eastAsia="宋体"/>
          <w:lang w:val="en-US" w:eastAsia="zh-CN"/>
        </w:rPr>
      </w:pPr>
      <w:r>
        <w:rPr>
          <w:rFonts w:hint="eastAsia"/>
          <w:lang w:val="en-US" w:eastAsia="zh-CN"/>
        </w:rPr>
        <w:t>目前，联合污水处理厂规模为60万m3/日，</w:t>
      </w:r>
      <w:r>
        <w:t>2022年，总进水量为1.83亿m3，日平均进水量为</w:t>
      </w:r>
      <w:bookmarkStart w:id="0" w:name="_Hlk143006505"/>
      <w:r>
        <w:t>50.14</w:t>
      </w:r>
      <w:r>
        <w:rPr>
          <w:rFonts w:hint="eastAsia"/>
          <w:lang w:val="en-US" w:eastAsia="zh-CN"/>
        </w:rPr>
        <w:t>万</w:t>
      </w:r>
      <w:r>
        <w:t>m3/d</w:t>
      </w:r>
      <w:bookmarkEnd w:id="0"/>
      <w:r>
        <w:t>，未超出其60</w:t>
      </w:r>
      <w:r>
        <w:rPr>
          <w:rFonts w:hint="eastAsia"/>
          <w:lang w:val="en-US" w:eastAsia="zh-CN"/>
        </w:rPr>
        <w:t>万</w:t>
      </w:r>
      <w:r>
        <w:t>m3/d的处理能力。2020-2022年均嘉兴市联合污水处理厂污水排放口</w:t>
      </w:r>
      <w:r>
        <w:rPr>
          <w:rFonts w:hint="eastAsia"/>
          <w:lang w:val="en-US" w:eastAsia="zh-CN"/>
        </w:rPr>
        <w:t>均达标排放，对排口周围杭州湾近岸海域几乎没有影响。</w:t>
      </w:r>
    </w:p>
    <w:p>
      <w:pPr>
        <w:numPr>
          <w:ilvl w:val="0"/>
          <w:numId w:val="0"/>
        </w:numPr>
        <w:spacing w:line="240" w:lineRule="auto"/>
        <w:rPr>
          <w:rFonts w:hint="eastAsia"/>
          <w:b/>
          <w:bCs/>
          <w:sz w:val="21"/>
          <w:szCs w:val="21"/>
          <w:highlight w:val="none"/>
        </w:rPr>
      </w:pPr>
      <w:r>
        <w:rPr>
          <w:rFonts w:hint="eastAsia"/>
          <w:b/>
          <w:bCs/>
          <w:sz w:val="21"/>
          <w:szCs w:val="21"/>
          <w:highlight w:val="none"/>
          <w:lang w:eastAsia="zh-CN"/>
        </w:rPr>
        <w:t>（</w:t>
      </w:r>
      <w:r>
        <w:rPr>
          <w:rFonts w:hint="eastAsia"/>
          <w:b/>
          <w:bCs/>
          <w:sz w:val="21"/>
          <w:szCs w:val="21"/>
          <w:highlight w:val="none"/>
          <w:lang w:val="en-US" w:eastAsia="zh-CN"/>
        </w:rPr>
        <w:t>三</w:t>
      </w:r>
      <w:r>
        <w:rPr>
          <w:rFonts w:hint="eastAsia"/>
          <w:b/>
          <w:bCs/>
          <w:sz w:val="21"/>
          <w:szCs w:val="21"/>
          <w:highlight w:val="none"/>
          <w:lang w:eastAsia="zh-CN"/>
        </w:rPr>
        <w:t>）</w:t>
      </w:r>
      <w:r>
        <w:rPr>
          <w:rFonts w:hint="eastAsia"/>
          <w:b/>
          <w:bCs/>
          <w:sz w:val="21"/>
          <w:szCs w:val="21"/>
          <w:highlight w:val="none"/>
        </w:rPr>
        <w:t>规划实施声环境影响分析</w:t>
      </w:r>
    </w:p>
    <w:p>
      <w:pPr>
        <w:numPr>
          <w:ilvl w:val="0"/>
          <w:numId w:val="0"/>
        </w:numPr>
        <w:spacing w:line="240" w:lineRule="auto"/>
        <w:ind w:firstLine="420" w:firstLineChars="200"/>
        <w:rPr>
          <w:rFonts w:hint="eastAsia"/>
          <w:sz w:val="21"/>
          <w:szCs w:val="21"/>
          <w:highlight w:val="none"/>
        </w:rPr>
      </w:pPr>
      <w:r>
        <w:rPr>
          <w:rFonts w:hint="eastAsia"/>
          <w:sz w:val="21"/>
          <w:szCs w:val="21"/>
          <w:highlight w:val="none"/>
        </w:rPr>
        <w:t>对于今后规划区新引进的企业，应通过各设备噪声治理，结合车间、厂房特点优化厂区的平面局部等技术和管理手段进行噪声控制，使厂界噪声达到规定标准。尤其是工业区与居住区距离较近的，对工业企业噪声防治必须提出更高的要求，在条件允许的前提下，应考虑在企业与居住区之间的缓冲带及绿化隔离带等优先建设。在此基础上，规划实施后基本可保证噪声排放达到相应功能区的标准要求。</w:t>
      </w:r>
    </w:p>
    <w:p>
      <w:pPr>
        <w:numPr>
          <w:ilvl w:val="0"/>
          <w:numId w:val="0"/>
        </w:numPr>
        <w:spacing w:line="240" w:lineRule="auto"/>
        <w:rPr>
          <w:rFonts w:hint="eastAsia"/>
          <w:b/>
          <w:bCs/>
          <w:sz w:val="21"/>
          <w:szCs w:val="21"/>
          <w:highlight w:val="none"/>
        </w:rPr>
      </w:pPr>
      <w:r>
        <w:rPr>
          <w:rFonts w:hint="eastAsia"/>
          <w:b/>
          <w:bCs/>
          <w:sz w:val="21"/>
          <w:szCs w:val="21"/>
          <w:highlight w:val="none"/>
          <w:lang w:eastAsia="zh-CN"/>
        </w:rPr>
        <w:t>（</w:t>
      </w:r>
      <w:r>
        <w:rPr>
          <w:rFonts w:hint="eastAsia"/>
          <w:b/>
          <w:bCs/>
          <w:sz w:val="21"/>
          <w:szCs w:val="21"/>
          <w:highlight w:val="none"/>
          <w:lang w:val="en-US" w:eastAsia="zh-CN"/>
        </w:rPr>
        <w:t>四</w:t>
      </w:r>
      <w:r>
        <w:rPr>
          <w:rFonts w:hint="eastAsia"/>
          <w:b/>
          <w:bCs/>
          <w:sz w:val="21"/>
          <w:szCs w:val="21"/>
          <w:highlight w:val="none"/>
          <w:lang w:eastAsia="zh-CN"/>
        </w:rPr>
        <w:t>）</w:t>
      </w:r>
      <w:r>
        <w:rPr>
          <w:rFonts w:hint="eastAsia"/>
          <w:b/>
          <w:bCs/>
          <w:sz w:val="21"/>
          <w:szCs w:val="21"/>
          <w:highlight w:val="none"/>
        </w:rPr>
        <w:t>规划实施固废影响分析</w:t>
      </w:r>
    </w:p>
    <w:p>
      <w:pPr>
        <w:numPr>
          <w:ilvl w:val="0"/>
          <w:numId w:val="0"/>
        </w:numPr>
        <w:spacing w:line="240" w:lineRule="auto"/>
        <w:ind w:firstLine="420" w:firstLineChars="200"/>
        <w:rPr>
          <w:rFonts w:hint="eastAsia"/>
          <w:sz w:val="21"/>
          <w:szCs w:val="21"/>
          <w:highlight w:val="none"/>
        </w:rPr>
      </w:pPr>
      <w:r>
        <w:rPr>
          <w:rFonts w:hint="eastAsia"/>
          <w:sz w:val="21"/>
          <w:szCs w:val="21"/>
          <w:highlight w:val="none"/>
        </w:rPr>
        <w:t>规划实施后生活垃圾、一般固废和危险废物均没有超过相应的处理处置能力范围，可得到妥善的处理处置，只要加强中间过程的环境管理，不会对环境造成大的影响。</w:t>
      </w:r>
    </w:p>
    <w:p>
      <w:pPr>
        <w:numPr>
          <w:ilvl w:val="0"/>
          <w:numId w:val="0"/>
        </w:numPr>
        <w:spacing w:line="240" w:lineRule="auto"/>
        <w:rPr>
          <w:rFonts w:hint="eastAsia"/>
          <w:b/>
          <w:bCs/>
          <w:sz w:val="21"/>
          <w:szCs w:val="21"/>
          <w:highlight w:val="none"/>
        </w:rPr>
      </w:pPr>
      <w:r>
        <w:rPr>
          <w:rFonts w:hint="eastAsia"/>
          <w:b/>
          <w:bCs/>
          <w:sz w:val="21"/>
          <w:szCs w:val="21"/>
          <w:highlight w:val="none"/>
          <w:lang w:eastAsia="zh-CN"/>
        </w:rPr>
        <w:t>（</w:t>
      </w:r>
      <w:r>
        <w:rPr>
          <w:rFonts w:hint="eastAsia"/>
          <w:b/>
          <w:bCs/>
          <w:sz w:val="21"/>
          <w:szCs w:val="21"/>
          <w:highlight w:val="none"/>
          <w:lang w:val="en-US" w:eastAsia="zh-CN"/>
        </w:rPr>
        <w:t>五</w:t>
      </w:r>
      <w:r>
        <w:rPr>
          <w:rFonts w:hint="eastAsia"/>
          <w:b/>
          <w:bCs/>
          <w:sz w:val="21"/>
          <w:szCs w:val="21"/>
          <w:highlight w:val="none"/>
          <w:lang w:eastAsia="zh-CN"/>
        </w:rPr>
        <w:t>）</w:t>
      </w:r>
      <w:r>
        <w:rPr>
          <w:rFonts w:hint="eastAsia"/>
          <w:b/>
          <w:bCs/>
          <w:sz w:val="21"/>
          <w:szCs w:val="21"/>
          <w:highlight w:val="none"/>
        </w:rPr>
        <w:t>规划实施环境风险影响分析</w:t>
      </w:r>
    </w:p>
    <w:p>
      <w:pPr>
        <w:numPr>
          <w:ilvl w:val="0"/>
          <w:numId w:val="0"/>
        </w:numPr>
        <w:ind w:firstLine="420" w:firstLineChars="0"/>
        <w:rPr>
          <w:rFonts w:hint="eastAsia" w:eastAsia="宋体" w:cs="Times New Roman"/>
          <w:b/>
          <w:bCs/>
          <w:lang w:val="en-US" w:eastAsia="zh-CN"/>
        </w:rPr>
      </w:pPr>
      <w:r>
        <w:rPr>
          <w:rFonts w:hint="eastAsia"/>
          <w:sz w:val="21"/>
          <w:szCs w:val="21"/>
          <w:highlight w:val="none"/>
        </w:rPr>
        <w:t>规划区</w:t>
      </w:r>
      <w:r>
        <w:rPr>
          <w:rFonts w:hint="eastAsia"/>
          <w:sz w:val="21"/>
          <w:szCs w:val="21"/>
          <w:highlight w:val="none"/>
          <w:lang w:val="en-US" w:eastAsia="zh-CN"/>
        </w:rPr>
        <w:t>内企业设计的有毒有害物质较少，</w:t>
      </w:r>
      <w:r>
        <w:rPr>
          <w:rFonts w:hint="eastAsia"/>
          <w:sz w:val="21"/>
          <w:szCs w:val="21"/>
          <w:highlight w:val="none"/>
        </w:rPr>
        <w:t>但由于本次规划区域敏感点较多，化学品储罐火灾二次污染物事故风险可能会对附近居民生命财产和身体健康造成重大影响。因此本报告要求一旦发生化学品储罐火灾事故，应第一时间启动风险事故应急预案，采取应急措施，通知下风向居民撤离，将事故污染对保护对象造成的影响减少到最低程度。</w:t>
      </w:r>
    </w:p>
    <w:p>
      <w:pPr>
        <w:numPr>
          <w:ilvl w:val="0"/>
          <w:numId w:val="1"/>
        </w:numPr>
        <w:rPr>
          <w:rFonts w:hint="eastAsia" w:eastAsia="宋体" w:cs="Times New Roman"/>
          <w:b/>
          <w:bCs/>
          <w:lang w:val="en-US" w:eastAsia="zh-CN"/>
        </w:rPr>
      </w:pPr>
      <w:r>
        <w:rPr>
          <w:rFonts w:hint="eastAsia" w:eastAsia="宋体" w:cs="Times New Roman"/>
          <w:b/>
          <w:bCs/>
          <w:lang w:val="en-US" w:eastAsia="zh-CN"/>
        </w:rPr>
        <w:t>规划拟采取的主要环境保护措施</w:t>
      </w:r>
    </w:p>
    <w:tbl>
      <w:tblPr>
        <w:tblStyle w:val="5"/>
        <w:tblW w:w="0" w:type="auto"/>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2040"/>
        <w:gridCol w:w="5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47" w:type="dxa"/>
            <w:vMerge w:val="restart"/>
            <w:vAlign w:val="center"/>
          </w:tcPr>
          <w:p>
            <w:pPr>
              <w:numPr>
                <w:ilvl w:val="0"/>
                <w:numId w:val="0"/>
              </w:numPr>
              <w:jc w:val="center"/>
              <w:rPr>
                <w:rFonts w:hint="eastAsia" w:eastAsia="宋体" w:cs="Times New Roman"/>
                <w:b w:val="0"/>
                <w:bCs w:val="0"/>
                <w:vertAlign w:val="baseline"/>
                <w:lang w:val="en-US" w:eastAsia="zh-CN"/>
              </w:rPr>
            </w:pPr>
            <w:r>
              <w:rPr>
                <w:rFonts w:hint="eastAsia" w:eastAsia="宋体" w:cs="Times New Roman"/>
                <w:b w:val="0"/>
                <w:bCs w:val="0"/>
                <w:lang w:val="en-US" w:eastAsia="zh-CN"/>
              </w:rPr>
              <w:t>资源保护对策和措施</w:t>
            </w:r>
          </w:p>
        </w:tc>
        <w:tc>
          <w:tcPr>
            <w:tcW w:w="2040" w:type="dxa"/>
            <w:vAlign w:val="center"/>
          </w:tcPr>
          <w:p>
            <w:pPr>
              <w:numPr>
                <w:ilvl w:val="0"/>
                <w:numId w:val="0"/>
              </w:numPr>
              <w:jc w:val="center"/>
              <w:rPr>
                <w:rFonts w:hint="eastAsia" w:eastAsia="宋体" w:cs="Times New Roman"/>
                <w:b/>
                <w:bCs/>
                <w:vertAlign w:val="baseline"/>
                <w:lang w:val="en-US" w:eastAsia="zh-CN"/>
              </w:rPr>
            </w:pPr>
            <w:r>
              <w:rPr>
                <w:rFonts w:hint="eastAsia" w:eastAsia="宋体" w:cs="Times New Roman"/>
                <w:b w:val="0"/>
                <w:bCs w:val="0"/>
                <w:lang w:val="en-US" w:eastAsia="zh-CN"/>
              </w:rPr>
              <w:t>能源利用</w:t>
            </w:r>
          </w:p>
        </w:tc>
        <w:tc>
          <w:tcPr>
            <w:tcW w:w="5442" w:type="dxa"/>
            <w:vAlign w:val="center"/>
          </w:tcPr>
          <w:p>
            <w:pPr>
              <w:bidi w:val="0"/>
              <w:jc w:val="both"/>
              <w:rPr>
                <w:rFonts w:hint="eastAsia"/>
                <w:lang w:val="en-US" w:eastAsia="zh-CN"/>
              </w:rPr>
            </w:pPr>
            <w:r>
              <w:rPr>
                <w:rFonts w:hint="eastAsia"/>
                <w:lang w:val="en-US" w:eastAsia="zh-CN"/>
              </w:rPr>
              <w:t>（1）聚焦重点用能行业，系统提升能效水平</w:t>
            </w:r>
          </w:p>
          <w:p>
            <w:pPr>
              <w:bidi w:val="0"/>
              <w:jc w:val="both"/>
            </w:pPr>
            <w:r>
              <w:rPr>
                <w:rFonts w:hint="eastAsia"/>
                <w:lang w:val="en-US" w:eastAsia="zh-CN"/>
              </w:rPr>
              <w:t>（2）</w:t>
            </w:r>
            <w:r>
              <w:t>推动</w:t>
            </w:r>
            <w:r>
              <w:rPr>
                <w:rFonts w:hint="eastAsia"/>
              </w:rPr>
              <w:t>区域</w:t>
            </w:r>
            <w:r>
              <w:t>节能减排，优化绿色生态环境</w:t>
            </w:r>
            <w:bookmarkStart w:id="1" w:name="_bookmark152"/>
            <w:bookmarkEnd w:id="1"/>
            <w:bookmarkStart w:id="2" w:name="_bookmark153"/>
            <w:bookmarkEnd w:id="2"/>
          </w:p>
          <w:p>
            <w:pPr>
              <w:bidi w:val="0"/>
              <w:jc w:val="both"/>
              <w:rPr>
                <w:rFonts w:hint="eastAsia" w:eastAsia="宋体"/>
                <w:lang w:eastAsia="zh-CN"/>
              </w:rPr>
            </w:pPr>
            <w:r>
              <w:rPr>
                <w:rFonts w:hint="eastAsia"/>
                <w:lang w:eastAsia="zh-CN"/>
              </w:rPr>
              <w:t>（</w:t>
            </w:r>
            <w:r>
              <w:rPr>
                <w:rFonts w:hint="eastAsia"/>
                <w:lang w:val="en-US" w:eastAsia="zh-CN"/>
              </w:rPr>
              <w:t>3</w:t>
            </w:r>
            <w:r>
              <w:rPr>
                <w:rFonts w:hint="eastAsia"/>
                <w:lang w:eastAsia="zh-CN"/>
              </w:rPr>
              <w:t>）</w:t>
            </w:r>
            <w:r>
              <w:t>加强绿色技术供给，构建绿色技术创新体系</w:t>
            </w:r>
          </w:p>
          <w:p>
            <w:pPr>
              <w:bidi w:val="0"/>
              <w:jc w:val="both"/>
              <w:rPr>
                <w:rFonts w:hint="eastAsia" w:eastAsia="宋体" w:cs="Times New Roman"/>
                <w:b/>
                <w:bCs/>
                <w:vertAlign w:val="baseline"/>
                <w:lang w:val="en-US" w:eastAsia="zh-CN"/>
              </w:rPr>
            </w:pPr>
            <w:r>
              <w:rPr>
                <w:rFonts w:hint="eastAsia"/>
                <w:lang w:val="en-US" w:eastAsia="zh-CN"/>
              </w:rPr>
              <w:t>（4）</w:t>
            </w:r>
            <w:r>
              <w:t>加快完善节能提效体制机制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pPr>
              <w:numPr>
                <w:ilvl w:val="0"/>
                <w:numId w:val="0"/>
              </w:numPr>
              <w:jc w:val="center"/>
              <w:rPr>
                <w:rFonts w:hint="eastAsia" w:eastAsia="宋体" w:cs="Times New Roman"/>
                <w:b w:val="0"/>
                <w:bCs w:val="0"/>
                <w:vertAlign w:val="baseline"/>
                <w:lang w:val="en-US" w:eastAsia="zh-CN"/>
              </w:rPr>
            </w:pPr>
          </w:p>
        </w:tc>
        <w:tc>
          <w:tcPr>
            <w:tcW w:w="2040" w:type="dxa"/>
            <w:vAlign w:val="center"/>
          </w:tcPr>
          <w:p>
            <w:pPr>
              <w:bidi w:val="0"/>
              <w:jc w:val="center"/>
              <w:rPr>
                <w:rFonts w:hint="eastAsia" w:eastAsia="宋体" w:cs="Times New Roman"/>
                <w:b/>
                <w:bCs/>
                <w:vertAlign w:val="baseline"/>
                <w:lang w:val="en-US" w:eastAsia="zh-CN"/>
              </w:rPr>
            </w:pPr>
            <w:r>
              <w:rPr>
                <w:rFonts w:hint="eastAsia"/>
                <w:lang w:val="en-US" w:eastAsia="zh-CN"/>
              </w:rPr>
              <w:t>水资源利用</w:t>
            </w:r>
          </w:p>
        </w:tc>
        <w:tc>
          <w:tcPr>
            <w:tcW w:w="5442" w:type="dxa"/>
            <w:vAlign w:val="center"/>
          </w:tcPr>
          <w:p>
            <w:pPr>
              <w:bidi w:val="0"/>
              <w:jc w:val="both"/>
              <w:rPr>
                <w:lang w:eastAsia="zh-Hans"/>
              </w:rPr>
            </w:pPr>
            <w:r>
              <w:rPr>
                <w:rFonts w:hint="eastAsia"/>
                <w:lang w:val="en-US" w:eastAsia="zh-CN"/>
              </w:rPr>
              <w:t>（1）</w:t>
            </w:r>
            <w:r>
              <w:rPr>
                <w:lang w:eastAsia="zh-Hans"/>
              </w:rPr>
              <w:t>落实《工业水效提升行动计划》等政策要求</w:t>
            </w:r>
          </w:p>
          <w:p>
            <w:pPr>
              <w:bidi w:val="0"/>
              <w:jc w:val="both"/>
              <w:rPr>
                <w:rFonts w:hint="eastAsia" w:eastAsia="宋体" w:cs="Times New Roman"/>
                <w:b/>
                <w:bCs/>
                <w:vertAlign w:val="baseline"/>
                <w:lang w:val="en-US" w:eastAsia="zh-CN"/>
              </w:rPr>
            </w:pPr>
            <w:r>
              <w:rPr>
                <w:rFonts w:hint="eastAsia"/>
                <w:lang w:eastAsia="zh-CN"/>
              </w:rPr>
              <w:t>（</w:t>
            </w:r>
            <w:r>
              <w:rPr>
                <w:rFonts w:hint="eastAsia"/>
                <w:lang w:val="en-US" w:eastAsia="zh-CN"/>
              </w:rPr>
              <w:t>2</w:t>
            </w:r>
            <w:r>
              <w:rPr>
                <w:rFonts w:hint="eastAsia"/>
                <w:lang w:eastAsia="zh-CN"/>
              </w:rPr>
              <w:t>）</w:t>
            </w:r>
            <w:r>
              <w:t>建立用水效率控制制度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pPr>
              <w:numPr>
                <w:ilvl w:val="0"/>
                <w:numId w:val="0"/>
              </w:numPr>
              <w:jc w:val="center"/>
              <w:rPr>
                <w:rFonts w:hint="eastAsia" w:eastAsia="宋体" w:cs="Times New Roman"/>
                <w:b w:val="0"/>
                <w:bCs w:val="0"/>
                <w:vertAlign w:val="baseline"/>
                <w:lang w:val="en-US" w:eastAsia="zh-CN"/>
              </w:rPr>
            </w:pPr>
          </w:p>
        </w:tc>
        <w:tc>
          <w:tcPr>
            <w:tcW w:w="2040" w:type="dxa"/>
            <w:vAlign w:val="center"/>
          </w:tcPr>
          <w:p>
            <w:pPr>
              <w:numPr>
                <w:ilvl w:val="0"/>
                <w:numId w:val="0"/>
              </w:numPr>
              <w:bidi w:val="0"/>
              <w:jc w:val="center"/>
              <w:rPr>
                <w:rFonts w:hint="eastAsia" w:eastAsia="宋体" w:cs="Times New Roman"/>
                <w:b/>
                <w:bCs/>
                <w:vertAlign w:val="baseline"/>
                <w:lang w:val="en-US" w:eastAsia="zh-CN"/>
              </w:rPr>
            </w:pPr>
            <w:r>
              <w:rPr>
                <w:rFonts w:hint="eastAsia"/>
                <w:lang w:val="en-US" w:eastAsia="zh-CN"/>
              </w:rPr>
              <w:t>土地利用</w:t>
            </w:r>
          </w:p>
        </w:tc>
        <w:tc>
          <w:tcPr>
            <w:tcW w:w="5442" w:type="dxa"/>
            <w:vAlign w:val="center"/>
          </w:tcPr>
          <w:p>
            <w:pPr>
              <w:numPr>
                <w:ilvl w:val="0"/>
                <w:numId w:val="4"/>
              </w:numPr>
              <w:bidi w:val="0"/>
              <w:jc w:val="both"/>
            </w:pPr>
            <w:r>
              <w:t>坚持合理布局，优化土地资源配置</w:t>
            </w:r>
          </w:p>
          <w:p>
            <w:pPr>
              <w:numPr>
                <w:ilvl w:val="0"/>
                <w:numId w:val="4"/>
              </w:numPr>
              <w:bidi w:val="0"/>
              <w:jc w:val="both"/>
              <w:rPr>
                <w:rFonts w:hint="eastAsia" w:eastAsia="宋体" w:cs="Times New Roman"/>
                <w:b/>
                <w:bCs/>
                <w:vertAlign w:val="baseline"/>
                <w:lang w:val="en-US" w:eastAsia="zh-CN"/>
              </w:rPr>
            </w:pPr>
            <w:r>
              <w:rPr>
                <w:lang w:eastAsia="zh-Hans"/>
              </w:rPr>
              <w:t>全面提升用地效益、推进土地节约集约利用</w:t>
            </w:r>
          </w:p>
          <w:p>
            <w:pPr>
              <w:numPr>
                <w:ilvl w:val="0"/>
                <w:numId w:val="4"/>
              </w:numPr>
              <w:bidi w:val="0"/>
              <w:jc w:val="both"/>
              <w:rPr>
                <w:rFonts w:hint="eastAsia" w:eastAsia="宋体" w:cs="Times New Roman"/>
                <w:b/>
                <w:bCs/>
                <w:vertAlign w:val="baseline"/>
                <w:lang w:val="en-US" w:eastAsia="zh-CN"/>
              </w:rPr>
            </w:pPr>
            <w:r>
              <w:rPr>
                <w:lang w:eastAsia="zh-Hans"/>
              </w:rPr>
              <w:t>加强耕地环境质量保护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restart"/>
            <w:vAlign w:val="center"/>
          </w:tcPr>
          <w:p>
            <w:pPr>
              <w:numPr>
                <w:ilvl w:val="0"/>
                <w:numId w:val="0"/>
              </w:numPr>
              <w:bidi w:val="0"/>
              <w:rPr>
                <w:rFonts w:hint="eastAsia" w:eastAsia="宋体" w:cs="Times New Roman"/>
                <w:b w:val="0"/>
                <w:bCs w:val="0"/>
                <w:vertAlign w:val="baseline"/>
                <w:lang w:val="en-US" w:eastAsia="zh-CN"/>
              </w:rPr>
            </w:pPr>
            <w:r>
              <w:rPr>
                <w:rFonts w:hint="eastAsia"/>
                <w:b w:val="0"/>
                <w:bCs w:val="0"/>
                <w:lang w:val="en-US" w:eastAsia="zh-CN"/>
              </w:rPr>
              <w:t>环境影响减缓对策和措施</w:t>
            </w:r>
          </w:p>
        </w:tc>
        <w:tc>
          <w:tcPr>
            <w:tcW w:w="2040" w:type="dxa"/>
            <w:vAlign w:val="center"/>
          </w:tcPr>
          <w:p>
            <w:pPr>
              <w:numPr>
                <w:ilvl w:val="0"/>
                <w:numId w:val="0"/>
              </w:numPr>
              <w:bidi w:val="0"/>
              <w:jc w:val="center"/>
              <w:rPr>
                <w:rFonts w:hint="eastAsia"/>
                <w:lang w:val="en-US" w:eastAsia="zh-CN"/>
              </w:rPr>
            </w:pPr>
            <w:r>
              <w:rPr>
                <w:rFonts w:hint="eastAsia"/>
                <w:lang w:val="en-US" w:eastAsia="zh-CN"/>
              </w:rPr>
              <w:t>大气环境影响减缓对策和措施</w:t>
            </w:r>
          </w:p>
          <w:p>
            <w:pPr>
              <w:numPr>
                <w:ilvl w:val="0"/>
                <w:numId w:val="0"/>
              </w:numPr>
              <w:jc w:val="center"/>
              <w:rPr>
                <w:rFonts w:hint="eastAsia" w:eastAsia="宋体" w:cs="Times New Roman"/>
                <w:b/>
                <w:bCs/>
                <w:vertAlign w:val="baseline"/>
                <w:lang w:val="en-US" w:eastAsia="zh-CN"/>
              </w:rPr>
            </w:pPr>
          </w:p>
        </w:tc>
        <w:tc>
          <w:tcPr>
            <w:tcW w:w="5442" w:type="dxa"/>
            <w:vAlign w:val="center"/>
          </w:tcPr>
          <w:p>
            <w:pPr>
              <w:bidi w:val="0"/>
              <w:jc w:val="both"/>
            </w:pPr>
            <w:r>
              <w:rPr>
                <w:rFonts w:hint="eastAsia"/>
                <w:lang w:eastAsia="zh-CN"/>
              </w:rPr>
              <w:t>（</w:t>
            </w:r>
            <w:r>
              <w:rPr>
                <w:rFonts w:hint="eastAsia"/>
                <w:lang w:val="en-US" w:eastAsia="zh-CN"/>
              </w:rPr>
              <w:t>1</w:t>
            </w:r>
            <w:r>
              <w:rPr>
                <w:rFonts w:hint="eastAsia"/>
                <w:lang w:eastAsia="zh-CN"/>
              </w:rPr>
              <w:t>）</w:t>
            </w:r>
            <w:r>
              <w:t>实施大气环境综合治理</w:t>
            </w:r>
          </w:p>
          <w:p>
            <w:pPr>
              <w:bidi w:val="0"/>
              <w:jc w:val="both"/>
            </w:pPr>
            <w:r>
              <w:t>（</w:t>
            </w:r>
            <w:r>
              <w:rPr>
                <w:rFonts w:hint="eastAsia"/>
                <w:lang w:val="en-US" w:eastAsia="zh-CN"/>
              </w:rPr>
              <w:t>2</w:t>
            </w:r>
            <w:r>
              <w:rPr>
                <w:lang w:eastAsia="zh-Hans"/>
              </w:rPr>
              <w:t>）</w:t>
            </w:r>
            <w:r>
              <w:t>加强固定源大气污染治理</w:t>
            </w:r>
          </w:p>
          <w:p>
            <w:pPr>
              <w:bidi w:val="0"/>
              <w:jc w:val="both"/>
            </w:pPr>
            <w:r>
              <w:t>（</w:t>
            </w:r>
            <w:r>
              <w:rPr>
                <w:rFonts w:hint="eastAsia"/>
                <w:lang w:val="en-US" w:eastAsia="zh-CN"/>
              </w:rPr>
              <w:t>3</w:t>
            </w:r>
            <w:r>
              <w:rPr>
                <w:lang w:eastAsia="zh-Hans"/>
              </w:rPr>
              <w:t>）</w:t>
            </w:r>
            <w:r>
              <w:t>严格移动源大气污染治理</w:t>
            </w:r>
          </w:p>
          <w:p>
            <w:pPr>
              <w:bidi w:val="0"/>
              <w:jc w:val="both"/>
            </w:pPr>
            <w:r>
              <w:t>（</w:t>
            </w:r>
            <w:r>
              <w:rPr>
                <w:rFonts w:hint="eastAsia"/>
                <w:lang w:val="en-US" w:eastAsia="zh-CN"/>
              </w:rPr>
              <w:t>4</w:t>
            </w:r>
            <w:r>
              <w:rPr>
                <w:lang w:eastAsia="zh-Hans"/>
              </w:rPr>
              <w:t>）</w:t>
            </w:r>
            <w:r>
              <w:t>强化</w:t>
            </w:r>
            <w:r>
              <w:rPr>
                <w:lang w:eastAsia="zh-Hans"/>
              </w:rPr>
              <w:t>区域</w:t>
            </w:r>
            <w:r>
              <w:t>面源大气污染治理</w:t>
            </w:r>
          </w:p>
          <w:p>
            <w:pPr>
              <w:bidi w:val="0"/>
              <w:jc w:val="both"/>
              <w:rPr>
                <w:rFonts w:hint="eastAsia" w:eastAsia="宋体" w:cs="Times New Roman"/>
                <w:b/>
                <w:bCs/>
                <w:vertAlign w:val="baseline"/>
                <w:lang w:val="en-US" w:eastAsia="zh-CN"/>
              </w:rPr>
            </w:pPr>
            <w:r>
              <w:t>（</w:t>
            </w:r>
            <w:r>
              <w:rPr>
                <w:rFonts w:hint="eastAsia"/>
                <w:lang w:val="en-US" w:eastAsia="zh-CN"/>
              </w:rPr>
              <w:t>5</w:t>
            </w:r>
            <w:r>
              <w:rPr>
                <w:lang w:eastAsia="zh-Hans"/>
              </w:rPr>
              <w:t>）</w:t>
            </w:r>
            <w:r>
              <w:t>加强其他污染治理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pPr>
              <w:numPr>
                <w:ilvl w:val="0"/>
                <w:numId w:val="0"/>
              </w:numPr>
              <w:jc w:val="center"/>
              <w:rPr>
                <w:rFonts w:hint="eastAsia" w:eastAsia="宋体" w:cs="Times New Roman"/>
                <w:b w:val="0"/>
                <w:bCs w:val="0"/>
                <w:vertAlign w:val="baseline"/>
                <w:lang w:val="en-US" w:eastAsia="zh-CN"/>
              </w:rPr>
            </w:pPr>
          </w:p>
        </w:tc>
        <w:tc>
          <w:tcPr>
            <w:tcW w:w="2040" w:type="dxa"/>
            <w:vAlign w:val="center"/>
          </w:tcPr>
          <w:p>
            <w:pPr>
              <w:numPr>
                <w:ilvl w:val="0"/>
                <w:numId w:val="0"/>
              </w:numPr>
              <w:bidi w:val="0"/>
              <w:jc w:val="center"/>
              <w:rPr>
                <w:rFonts w:hint="eastAsia" w:eastAsia="宋体" w:cs="Times New Roman"/>
                <w:b/>
                <w:bCs/>
                <w:vertAlign w:val="baseline"/>
                <w:lang w:val="en-US" w:eastAsia="zh-CN"/>
              </w:rPr>
            </w:pPr>
            <w:r>
              <w:rPr>
                <w:rFonts w:hint="eastAsia"/>
                <w:lang w:val="en-US" w:eastAsia="zh-CN"/>
              </w:rPr>
              <w:t>地表水环境影响减缓对策和措施</w:t>
            </w:r>
          </w:p>
        </w:tc>
        <w:tc>
          <w:tcPr>
            <w:tcW w:w="5442" w:type="dxa"/>
            <w:vAlign w:val="center"/>
          </w:tcPr>
          <w:p>
            <w:pPr>
              <w:pStyle w:val="12"/>
              <w:ind w:left="0" w:leftChars="0" w:firstLine="0" w:firstLineChars="0"/>
              <w:jc w:val="both"/>
            </w:pPr>
            <w:r>
              <w:t>（</w:t>
            </w:r>
            <w:r>
              <w:rPr>
                <w:rFonts w:hint="eastAsia"/>
                <w:lang w:val="en-US" w:eastAsia="zh-CN"/>
              </w:rPr>
              <w:t>1</w:t>
            </w:r>
            <w:r>
              <w:rPr>
                <w:lang w:eastAsia="zh-Hans"/>
              </w:rPr>
              <w:t>）</w:t>
            </w:r>
            <w:r>
              <w:t>夯实水污染控源截污</w:t>
            </w:r>
          </w:p>
          <w:p>
            <w:pPr>
              <w:pStyle w:val="12"/>
              <w:ind w:left="0" w:leftChars="0" w:firstLine="0" w:firstLineChars="0"/>
              <w:jc w:val="both"/>
              <w:rPr>
                <w:rFonts w:hint="eastAsia" w:eastAsia="宋体" w:cs="Times New Roman"/>
                <w:b/>
                <w:bCs/>
                <w:vertAlign w:val="baseline"/>
                <w:lang w:val="en-US" w:eastAsia="zh-CN"/>
              </w:rPr>
            </w:pPr>
            <w:r>
              <w:t>（</w:t>
            </w:r>
            <w:r>
              <w:rPr>
                <w:rFonts w:hint="eastAsia"/>
                <w:lang w:val="en-US" w:eastAsia="zh-CN"/>
              </w:rPr>
              <w:t>2</w:t>
            </w:r>
            <w:r>
              <w:rPr>
                <w:lang w:eastAsia="zh-Hans"/>
              </w:rPr>
              <w:t>）</w:t>
            </w:r>
            <w:r>
              <w:t>强化水生态修复扩容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pPr>
              <w:numPr>
                <w:ilvl w:val="0"/>
                <w:numId w:val="0"/>
              </w:numPr>
              <w:jc w:val="center"/>
              <w:rPr>
                <w:rFonts w:hint="eastAsia" w:eastAsia="宋体" w:cs="Times New Roman"/>
                <w:b w:val="0"/>
                <w:bCs w:val="0"/>
                <w:vertAlign w:val="baseline"/>
                <w:lang w:val="en-US" w:eastAsia="zh-CN"/>
              </w:rPr>
            </w:pPr>
          </w:p>
        </w:tc>
        <w:tc>
          <w:tcPr>
            <w:tcW w:w="2040" w:type="dxa"/>
            <w:vAlign w:val="center"/>
          </w:tcPr>
          <w:p>
            <w:pPr>
              <w:numPr>
                <w:ilvl w:val="0"/>
                <w:numId w:val="0"/>
              </w:numPr>
              <w:bidi w:val="0"/>
              <w:jc w:val="center"/>
              <w:rPr>
                <w:rFonts w:hint="eastAsia" w:eastAsia="宋体" w:cs="Times New Roman"/>
                <w:b/>
                <w:bCs/>
                <w:vertAlign w:val="baseline"/>
                <w:lang w:val="en-US" w:eastAsia="zh-CN"/>
              </w:rPr>
            </w:pPr>
            <w:r>
              <w:rPr>
                <w:rFonts w:hint="eastAsia"/>
                <w:lang w:val="en-US" w:eastAsia="zh-CN"/>
              </w:rPr>
              <w:t>地下水环境影响减缓对策和措施</w:t>
            </w:r>
          </w:p>
        </w:tc>
        <w:tc>
          <w:tcPr>
            <w:tcW w:w="5442" w:type="dxa"/>
            <w:vAlign w:val="center"/>
          </w:tcPr>
          <w:p>
            <w:pPr>
              <w:numPr>
                <w:ilvl w:val="0"/>
                <w:numId w:val="0"/>
              </w:numPr>
              <w:bidi w:val="0"/>
              <w:ind w:firstLine="420" w:firstLineChars="200"/>
              <w:jc w:val="both"/>
              <w:rPr>
                <w:rFonts w:hint="eastAsia" w:eastAsia="宋体" w:cs="Times New Roman"/>
                <w:b/>
                <w:bCs/>
                <w:vertAlign w:val="baseline"/>
                <w:lang w:val="en-US" w:eastAsia="zh-CN"/>
              </w:rPr>
            </w:pPr>
            <w:r>
              <w:rPr>
                <w:rFonts w:hint="default"/>
                <w:lang w:val="en-US" w:eastAsia="zh-CN"/>
              </w:rPr>
              <w:t>加强地下水环境分区管控。开展地下水污染防治分区划分，完成地下水污染防治分区划定，初步确定保护区、防护区和治理区分布、范围和分区防治措施。建立地下水污染防治分区动态调整机制，结合地下水水文地质调查、污染调查和环境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pPr>
              <w:numPr>
                <w:ilvl w:val="0"/>
                <w:numId w:val="0"/>
              </w:numPr>
              <w:jc w:val="center"/>
              <w:rPr>
                <w:rFonts w:hint="eastAsia" w:eastAsia="宋体" w:cs="Times New Roman"/>
                <w:b w:val="0"/>
                <w:bCs w:val="0"/>
                <w:vertAlign w:val="baseline"/>
                <w:lang w:val="en-US" w:eastAsia="zh-CN"/>
              </w:rPr>
            </w:pPr>
          </w:p>
        </w:tc>
        <w:tc>
          <w:tcPr>
            <w:tcW w:w="2040" w:type="dxa"/>
            <w:vAlign w:val="center"/>
          </w:tcPr>
          <w:p>
            <w:pPr>
              <w:numPr>
                <w:ilvl w:val="0"/>
                <w:numId w:val="0"/>
              </w:numPr>
              <w:bidi w:val="0"/>
              <w:jc w:val="center"/>
              <w:rPr>
                <w:rFonts w:hint="eastAsia"/>
                <w:lang w:val="en-US" w:eastAsia="zh-CN"/>
              </w:rPr>
            </w:pPr>
            <w:r>
              <w:rPr>
                <w:rFonts w:hint="eastAsia"/>
                <w:lang w:val="en-US" w:eastAsia="zh-CN"/>
              </w:rPr>
              <w:t>土壤环境影响减缓对策和措施</w:t>
            </w:r>
          </w:p>
        </w:tc>
        <w:tc>
          <w:tcPr>
            <w:tcW w:w="5442" w:type="dxa"/>
            <w:vAlign w:val="center"/>
          </w:tcPr>
          <w:p>
            <w:pPr>
              <w:pStyle w:val="12"/>
              <w:ind w:left="0" w:leftChars="0" w:firstLine="0" w:firstLineChars="0"/>
              <w:jc w:val="both"/>
            </w:pPr>
            <w:r>
              <w:rPr>
                <w:rFonts w:hint="eastAsia"/>
                <w:lang w:eastAsia="zh-CN"/>
              </w:rPr>
              <w:t>（</w:t>
            </w:r>
            <w:r>
              <w:rPr>
                <w:rFonts w:hint="eastAsia"/>
                <w:lang w:val="en-US" w:eastAsia="zh-CN"/>
              </w:rPr>
              <w:t>1</w:t>
            </w:r>
            <w:r>
              <w:rPr>
                <w:rFonts w:hint="eastAsia"/>
                <w:lang w:eastAsia="zh-CN"/>
              </w:rPr>
              <w:t>）</w:t>
            </w:r>
            <w:r>
              <w:t>严格实施建设用地准入管理</w:t>
            </w:r>
          </w:p>
          <w:p>
            <w:pPr>
              <w:pStyle w:val="12"/>
              <w:ind w:left="0" w:leftChars="0" w:firstLine="0" w:firstLineChars="0"/>
              <w:jc w:val="both"/>
              <w:rPr>
                <w:rFonts w:hint="eastAsia" w:eastAsia="宋体" w:cs="Times New Roman"/>
                <w:b/>
                <w:bCs/>
                <w:vertAlign w:val="baseline"/>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督促</w:t>
            </w:r>
            <w:r>
              <w:t>企业依法履行土壤污染防治义务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pPr>
              <w:numPr>
                <w:ilvl w:val="0"/>
                <w:numId w:val="0"/>
              </w:numPr>
              <w:jc w:val="center"/>
              <w:rPr>
                <w:rFonts w:hint="eastAsia" w:eastAsia="宋体" w:cs="Times New Roman"/>
                <w:b w:val="0"/>
                <w:bCs w:val="0"/>
                <w:vertAlign w:val="baseline"/>
                <w:lang w:val="en-US" w:eastAsia="zh-CN"/>
              </w:rPr>
            </w:pPr>
          </w:p>
        </w:tc>
        <w:tc>
          <w:tcPr>
            <w:tcW w:w="2040" w:type="dxa"/>
            <w:vAlign w:val="center"/>
          </w:tcPr>
          <w:p>
            <w:pPr>
              <w:numPr>
                <w:ilvl w:val="0"/>
                <w:numId w:val="0"/>
              </w:numPr>
              <w:bidi w:val="0"/>
              <w:jc w:val="center"/>
              <w:rPr>
                <w:rFonts w:hint="eastAsia"/>
                <w:lang w:val="en-US" w:eastAsia="zh-CN"/>
              </w:rPr>
            </w:pPr>
            <w:r>
              <w:rPr>
                <w:rFonts w:hint="eastAsia"/>
                <w:lang w:val="en-US" w:eastAsia="zh-CN"/>
              </w:rPr>
              <w:t>固废环境保护措施</w:t>
            </w:r>
          </w:p>
        </w:tc>
        <w:tc>
          <w:tcPr>
            <w:tcW w:w="5442" w:type="dxa"/>
            <w:vAlign w:val="center"/>
          </w:tcPr>
          <w:p>
            <w:pPr>
              <w:pStyle w:val="12"/>
              <w:ind w:left="0" w:leftChars="0" w:firstLine="0" w:firstLineChars="0"/>
              <w:jc w:val="both"/>
            </w:pPr>
            <w:r>
              <w:rPr>
                <w:rFonts w:hint="eastAsia"/>
                <w:lang w:eastAsia="zh-CN"/>
              </w:rPr>
              <w:t>（</w:t>
            </w:r>
            <w:r>
              <w:rPr>
                <w:rFonts w:hint="eastAsia"/>
                <w:lang w:val="en-US" w:eastAsia="zh-CN"/>
              </w:rPr>
              <w:t>1</w:t>
            </w:r>
            <w:r>
              <w:rPr>
                <w:rFonts w:hint="eastAsia"/>
                <w:lang w:eastAsia="zh-CN"/>
              </w:rPr>
              <w:t>）</w:t>
            </w:r>
            <w:r>
              <w:t>从源头实现工业固体废物减量化</w:t>
            </w:r>
          </w:p>
          <w:p>
            <w:pPr>
              <w:pStyle w:val="12"/>
              <w:ind w:left="0" w:leftChars="0" w:firstLine="0" w:firstLineChars="0"/>
              <w:jc w:val="both"/>
              <w:rPr>
                <w:rFonts w:hint="eastAsia" w:eastAsia="宋体" w:cs="Times New Roman"/>
                <w:b/>
                <w:bCs/>
                <w:vertAlign w:val="baseline"/>
                <w:lang w:val="en-US" w:eastAsia="zh-CN"/>
              </w:rPr>
            </w:pPr>
            <w:r>
              <w:rPr>
                <w:rFonts w:hint="eastAsia"/>
                <w:lang w:eastAsia="zh-CN"/>
              </w:rPr>
              <w:t>（</w:t>
            </w:r>
            <w:r>
              <w:rPr>
                <w:rFonts w:hint="eastAsia"/>
                <w:lang w:val="en-US" w:eastAsia="zh-CN"/>
              </w:rPr>
              <w:t>2</w:t>
            </w:r>
            <w:r>
              <w:rPr>
                <w:rFonts w:hint="eastAsia"/>
                <w:lang w:eastAsia="zh-CN"/>
              </w:rPr>
              <w:t>）</w:t>
            </w:r>
            <w:r>
              <w:t>健全工业固体废物过程管控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pPr>
              <w:numPr>
                <w:ilvl w:val="0"/>
                <w:numId w:val="0"/>
              </w:numPr>
              <w:jc w:val="center"/>
              <w:rPr>
                <w:rFonts w:hint="eastAsia" w:eastAsia="宋体" w:cs="Times New Roman"/>
                <w:b w:val="0"/>
                <w:bCs w:val="0"/>
                <w:vertAlign w:val="baseline"/>
                <w:lang w:val="en-US" w:eastAsia="zh-CN"/>
              </w:rPr>
            </w:pPr>
          </w:p>
        </w:tc>
        <w:tc>
          <w:tcPr>
            <w:tcW w:w="2040" w:type="dxa"/>
            <w:vAlign w:val="center"/>
          </w:tcPr>
          <w:p>
            <w:pPr>
              <w:numPr>
                <w:ilvl w:val="0"/>
                <w:numId w:val="0"/>
              </w:numPr>
              <w:bidi w:val="0"/>
              <w:jc w:val="center"/>
              <w:rPr>
                <w:rFonts w:hint="eastAsia"/>
                <w:lang w:val="en-US" w:eastAsia="zh-CN"/>
              </w:rPr>
            </w:pPr>
            <w:r>
              <w:rPr>
                <w:rFonts w:hint="eastAsia"/>
                <w:lang w:val="en-US" w:eastAsia="zh-CN"/>
              </w:rPr>
              <w:t>声环境保护措施</w:t>
            </w:r>
          </w:p>
        </w:tc>
        <w:tc>
          <w:tcPr>
            <w:tcW w:w="5442" w:type="dxa"/>
            <w:vAlign w:val="center"/>
          </w:tcPr>
          <w:p>
            <w:pPr>
              <w:pStyle w:val="12"/>
              <w:ind w:left="0" w:leftChars="0" w:firstLine="0" w:firstLineChars="0"/>
              <w:jc w:val="both"/>
            </w:pPr>
            <w:r>
              <w:rPr>
                <w:rFonts w:hint="eastAsia"/>
                <w:lang w:eastAsia="zh-CN"/>
              </w:rPr>
              <w:t>（</w:t>
            </w:r>
            <w:r>
              <w:rPr>
                <w:rFonts w:hint="eastAsia"/>
                <w:lang w:val="en-US" w:eastAsia="zh-CN"/>
              </w:rPr>
              <w:t>1</w:t>
            </w:r>
            <w:r>
              <w:rPr>
                <w:rFonts w:hint="eastAsia"/>
                <w:lang w:eastAsia="zh-CN"/>
              </w:rPr>
              <w:t>）</w:t>
            </w:r>
            <w:r>
              <w:t>加强交通运输噪声污染防治与管理</w:t>
            </w:r>
          </w:p>
          <w:p>
            <w:pPr>
              <w:pStyle w:val="12"/>
              <w:ind w:left="0" w:leftChars="0" w:firstLine="0" w:firstLineChars="0"/>
              <w:jc w:val="both"/>
            </w:pPr>
            <w:r>
              <w:rPr>
                <w:rFonts w:hint="eastAsia"/>
                <w:lang w:eastAsia="zh-CN"/>
              </w:rPr>
              <w:t>（</w:t>
            </w:r>
            <w:r>
              <w:rPr>
                <w:rFonts w:hint="eastAsia"/>
                <w:lang w:val="en-US" w:eastAsia="zh-CN"/>
              </w:rPr>
              <w:t>2）</w:t>
            </w:r>
            <w:r>
              <w:t>加强工业噪声污染控制</w:t>
            </w:r>
          </w:p>
          <w:p>
            <w:pPr>
              <w:pStyle w:val="12"/>
              <w:ind w:left="0" w:leftChars="0" w:firstLine="0" w:firstLineChars="0"/>
              <w:jc w:val="both"/>
            </w:pPr>
            <w:r>
              <w:rPr>
                <w:rFonts w:hint="eastAsia"/>
                <w:lang w:eastAsia="zh-CN"/>
              </w:rPr>
              <w:t>（</w:t>
            </w:r>
            <w:r>
              <w:rPr>
                <w:rFonts w:hint="eastAsia"/>
                <w:lang w:val="en-US" w:eastAsia="zh-CN"/>
              </w:rPr>
              <w:t>3</w:t>
            </w:r>
            <w:r>
              <w:rPr>
                <w:rFonts w:hint="eastAsia"/>
                <w:lang w:eastAsia="zh-CN"/>
              </w:rPr>
              <w:t>）</w:t>
            </w:r>
            <w:r>
              <w:t>加强建筑施工噪声防治与管理</w:t>
            </w:r>
          </w:p>
          <w:p>
            <w:pPr>
              <w:pStyle w:val="12"/>
              <w:ind w:left="0" w:leftChars="0" w:firstLine="0" w:firstLineChars="0"/>
              <w:jc w:val="both"/>
            </w:pPr>
            <w:r>
              <w:rPr>
                <w:rFonts w:hint="eastAsia"/>
                <w:lang w:eastAsia="zh-CN"/>
              </w:rPr>
              <w:t>（</w:t>
            </w:r>
            <w:r>
              <w:rPr>
                <w:rFonts w:hint="eastAsia"/>
                <w:lang w:val="en-US" w:eastAsia="zh-CN"/>
              </w:rPr>
              <w:t>4</w:t>
            </w:r>
            <w:r>
              <w:rPr>
                <w:rFonts w:hint="eastAsia"/>
                <w:lang w:eastAsia="zh-CN"/>
              </w:rPr>
              <w:t>）</w:t>
            </w:r>
            <w:r>
              <w:t>控制社会噪声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pPr>
              <w:numPr>
                <w:ilvl w:val="0"/>
                <w:numId w:val="0"/>
              </w:numPr>
              <w:jc w:val="center"/>
              <w:rPr>
                <w:rFonts w:hint="eastAsia" w:eastAsia="宋体" w:cs="Times New Roman"/>
                <w:b w:val="0"/>
                <w:bCs w:val="0"/>
                <w:vertAlign w:val="baseline"/>
                <w:lang w:val="en-US" w:eastAsia="zh-CN"/>
              </w:rPr>
            </w:pPr>
          </w:p>
        </w:tc>
        <w:tc>
          <w:tcPr>
            <w:tcW w:w="2040" w:type="dxa"/>
            <w:vAlign w:val="center"/>
          </w:tcPr>
          <w:p>
            <w:pPr>
              <w:numPr>
                <w:ilvl w:val="0"/>
                <w:numId w:val="0"/>
              </w:numPr>
              <w:bidi w:val="0"/>
              <w:jc w:val="center"/>
              <w:rPr>
                <w:rFonts w:hint="eastAsia"/>
                <w:lang w:val="en-US" w:eastAsia="zh-CN"/>
              </w:rPr>
            </w:pPr>
            <w:r>
              <w:rPr>
                <w:rFonts w:hint="eastAsia"/>
                <w:lang w:val="en-US" w:eastAsia="zh-CN"/>
              </w:rPr>
              <w:t>新污染源治理对策和措施</w:t>
            </w:r>
          </w:p>
        </w:tc>
        <w:tc>
          <w:tcPr>
            <w:tcW w:w="5442" w:type="dxa"/>
            <w:vAlign w:val="center"/>
          </w:tcPr>
          <w:p>
            <w:pPr>
              <w:pStyle w:val="12"/>
              <w:ind w:left="0" w:leftChars="0" w:firstLine="0" w:firstLineChars="0"/>
              <w:jc w:val="both"/>
            </w:pPr>
            <w:r>
              <w:rPr>
                <w:rFonts w:hint="eastAsia"/>
                <w:lang w:eastAsia="zh-CN"/>
              </w:rPr>
              <w:t>（</w:t>
            </w:r>
            <w:r>
              <w:rPr>
                <w:rFonts w:hint="eastAsia"/>
                <w:lang w:val="en-US" w:eastAsia="zh-CN"/>
              </w:rPr>
              <w:t>1</w:t>
            </w:r>
            <w:r>
              <w:rPr>
                <w:rFonts w:hint="eastAsia"/>
                <w:lang w:eastAsia="zh-CN"/>
              </w:rPr>
              <w:t>）</w:t>
            </w:r>
            <w:r>
              <w:t>严格源头管控，防范新污染物产生</w:t>
            </w:r>
          </w:p>
          <w:p>
            <w:pPr>
              <w:pStyle w:val="12"/>
              <w:ind w:left="0" w:leftChars="0" w:firstLine="0" w:firstLineChars="0"/>
              <w:jc w:val="both"/>
            </w:pPr>
            <w:r>
              <w:rPr>
                <w:rFonts w:hint="eastAsia"/>
                <w:lang w:eastAsia="zh-CN"/>
              </w:rPr>
              <w:t>（</w:t>
            </w:r>
            <w:r>
              <w:rPr>
                <w:rFonts w:hint="eastAsia"/>
                <w:lang w:val="en-US" w:eastAsia="zh-CN"/>
              </w:rPr>
              <w:t>2</w:t>
            </w:r>
            <w:r>
              <w:rPr>
                <w:rFonts w:hint="eastAsia"/>
                <w:lang w:eastAsia="zh-CN"/>
              </w:rPr>
              <w:t>）</w:t>
            </w:r>
            <w:r>
              <w:t>强化过程控制，减少新污染物排放</w:t>
            </w:r>
          </w:p>
          <w:p>
            <w:pPr>
              <w:pStyle w:val="12"/>
              <w:ind w:left="0" w:leftChars="0" w:firstLine="0" w:firstLineChars="0"/>
              <w:jc w:val="both"/>
            </w:pPr>
            <w:r>
              <w:rPr>
                <w:rFonts w:hint="eastAsia"/>
                <w:lang w:eastAsia="zh-CN"/>
              </w:rPr>
              <w:t>（</w:t>
            </w:r>
            <w:r>
              <w:rPr>
                <w:rFonts w:hint="eastAsia"/>
                <w:lang w:val="en-US" w:eastAsia="zh-CN"/>
              </w:rPr>
              <w:t>3</w:t>
            </w:r>
            <w:r>
              <w:rPr>
                <w:rFonts w:hint="eastAsia"/>
                <w:lang w:eastAsia="zh-CN"/>
              </w:rPr>
              <w:t>）</w:t>
            </w:r>
            <w:r>
              <w:t>深化末端治理，降低新污染物环境风险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numPr>
                <w:ilvl w:val="0"/>
                <w:numId w:val="0"/>
              </w:numPr>
              <w:bidi w:val="0"/>
              <w:ind w:leftChars="0"/>
              <w:rPr>
                <w:rFonts w:hint="eastAsia" w:eastAsia="宋体" w:cs="Times New Roman"/>
                <w:b w:val="0"/>
                <w:bCs w:val="0"/>
                <w:vertAlign w:val="baseline"/>
                <w:lang w:val="en-US" w:eastAsia="zh-CN"/>
              </w:rPr>
            </w:pPr>
            <w:r>
              <w:rPr>
                <w:rFonts w:hint="eastAsia"/>
                <w:b w:val="0"/>
                <w:bCs w:val="0"/>
                <w:lang w:val="en-US" w:eastAsia="zh-CN"/>
              </w:rPr>
              <w:t>环境风险预防措施</w:t>
            </w:r>
          </w:p>
        </w:tc>
        <w:tc>
          <w:tcPr>
            <w:tcW w:w="2040" w:type="dxa"/>
            <w:vAlign w:val="center"/>
          </w:tcPr>
          <w:p>
            <w:pPr>
              <w:numPr>
                <w:ilvl w:val="0"/>
                <w:numId w:val="0"/>
              </w:numPr>
              <w:bidi w:val="0"/>
              <w:jc w:val="center"/>
              <w:rPr>
                <w:rFonts w:hint="default"/>
                <w:lang w:val="en-US" w:eastAsia="zh-CN"/>
              </w:rPr>
            </w:pPr>
            <w:r>
              <w:rPr>
                <w:rFonts w:hint="eastAsia"/>
                <w:lang w:val="en-US" w:eastAsia="zh-CN"/>
              </w:rPr>
              <w:t>风险预防措施</w:t>
            </w:r>
          </w:p>
        </w:tc>
        <w:tc>
          <w:tcPr>
            <w:tcW w:w="5442" w:type="dxa"/>
            <w:vAlign w:val="center"/>
          </w:tcPr>
          <w:p>
            <w:pPr>
              <w:numPr>
                <w:ilvl w:val="0"/>
                <w:numId w:val="5"/>
              </w:numPr>
              <w:jc w:val="both"/>
            </w:pPr>
            <w:r>
              <w:t>建立健全突发环境事件区域流域协同响应工作机制</w:t>
            </w:r>
          </w:p>
          <w:p>
            <w:pPr>
              <w:numPr>
                <w:ilvl w:val="0"/>
                <w:numId w:val="5"/>
              </w:numPr>
              <w:jc w:val="both"/>
            </w:pPr>
            <w:r>
              <w:t>增强环境风险源头防控，优化规划项目选址</w:t>
            </w:r>
          </w:p>
          <w:p>
            <w:pPr>
              <w:numPr>
                <w:ilvl w:val="0"/>
                <w:numId w:val="5"/>
              </w:numPr>
              <w:jc w:val="both"/>
            </w:pPr>
            <w:r>
              <w:t>加强</w:t>
            </w:r>
            <w:r>
              <w:rPr>
                <w:rFonts w:hint="eastAsia"/>
                <w:highlight w:val="none"/>
              </w:rPr>
              <w:t>油车港镇</w:t>
            </w:r>
            <w:r>
              <w:t>环境风险预警体系建设</w:t>
            </w:r>
          </w:p>
        </w:tc>
      </w:tr>
    </w:tbl>
    <w:p>
      <w:pPr>
        <w:bidi w:val="0"/>
      </w:pPr>
    </w:p>
    <w:p>
      <w:pPr>
        <w:numPr>
          <w:ilvl w:val="0"/>
          <w:numId w:val="0"/>
        </w:numPr>
        <w:spacing w:line="240" w:lineRule="auto"/>
        <w:rPr>
          <w:rFonts w:hint="eastAsia"/>
          <w:b/>
          <w:bCs/>
          <w:sz w:val="21"/>
          <w:szCs w:val="21"/>
        </w:rPr>
      </w:pPr>
      <w:r>
        <w:rPr>
          <w:rFonts w:hint="eastAsia"/>
          <w:b/>
          <w:bCs/>
          <w:sz w:val="21"/>
          <w:szCs w:val="21"/>
        </w:rPr>
        <w:t>四、环境影响评价结论</w:t>
      </w:r>
    </w:p>
    <w:p>
      <w:pPr>
        <w:numPr>
          <w:ilvl w:val="0"/>
          <w:numId w:val="0"/>
        </w:numPr>
        <w:spacing w:line="240" w:lineRule="auto"/>
        <w:ind w:firstLine="420" w:firstLineChars="200"/>
        <w:rPr>
          <w:rFonts w:hint="eastAsia"/>
          <w:sz w:val="21"/>
          <w:szCs w:val="21"/>
        </w:rPr>
      </w:pPr>
      <w:r>
        <w:rPr>
          <w:rFonts w:hint="eastAsia"/>
          <w:sz w:val="21"/>
          <w:szCs w:val="21"/>
        </w:rPr>
        <w:t>本评价认为，本次规划确定的规划</w:t>
      </w:r>
      <w:r>
        <w:rPr>
          <w:rFonts w:hint="eastAsia"/>
          <w:sz w:val="21"/>
          <w:szCs w:val="21"/>
          <w:lang w:val="en-US" w:eastAsia="zh-CN"/>
        </w:rPr>
        <w:t>目的</w:t>
      </w:r>
      <w:r>
        <w:rPr>
          <w:rFonts w:hint="eastAsia"/>
          <w:sz w:val="21"/>
          <w:szCs w:val="21"/>
        </w:rPr>
        <w:t>、</w:t>
      </w:r>
      <w:r>
        <w:rPr>
          <w:rFonts w:hint="eastAsia"/>
          <w:sz w:val="21"/>
          <w:szCs w:val="21"/>
          <w:lang w:val="en-US" w:eastAsia="zh-CN"/>
        </w:rPr>
        <w:t>规划</w:t>
      </w:r>
      <w:r>
        <w:rPr>
          <w:rFonts w:hint="eastAsia"/>
          <w:sz w:val="21"/>
          <w:szCs w:val="21"/>
        </w:rPr>
        <w:t>定位</w:t>
      </w:r>
      <w:r>
        <w:rPr>
          <w:rFonts w:hint="eastAsia"/>
          <w:sz w:val="21"/>
          <w:szCs w:val="21"/>
          <w:lang w:val="en-US" w:eastAsia="zh-CN"/>
        </w:rPr>
        <w:t>和用地布局等</w:t>
      </w:r>
      <w:r>
        <w:rPr>
          <w:rFonts w:hint="eastAsia"/>
          <w:sz w:val="21"/>
          <w:szCs w:val="21"/>
        </w:rPr>
        <w:t>总体较为合理，与嘉兴市"三线一单”生态环境分区管控方案、国土空间规划、环境保护规划、基础设施专项规划等上位</w:t>
      </w:r>
      <w:r>
        <w:rPr>
          <w:rFonts w:hint="eastAsia"/>
          <w:sz w:val="21"/>
          <w:szCs w:val="21"/>
          <w:lang w:val="en-US" w:eastAsia="zh-CN"/>
        </w:rPr>
        <w:t>规划</w:t>
      </w:r>
      <w:r>
        <w:rPr>
          <w:rFonts w:hint="eastAsia"/>
          <w:sz w:val="21"/>
          <w:szCs w:val="21"/>
        </w:rPr>
        <w:t>相协调。规划区土地资源、水资源可以满足规划实施的需求，</w:t>
      </w:r>
      <w:r>
        <w:rPr>
          <w:rFonts w:hint="eastAsia"/>
          <w:sz w:val="21"/>
          <w:szCs w:val="21"/>
          <w:lang w:val="en-US" w:eastAsia="zh-CN"/>
        </w:rPr>
        <w:t>区域工业污水纳管输送至联合污水处理厂，区域热力主要由嘉兴新嘉爱斯热电有限公司</w:t>
      </w:r>
      <w:r>
        <w:rPr>
          <w:rFonts w:hint="eastAsia"/>
          <w:sz w:val="21"/>
          <w:szCs w:val="21"/>
        </w:rPr>
        <w:t>提供，区域环境风险</w:t>
      </w:r>
      <w:r>
        <w:rPr>
          <w:rFonts w:hint="eastAsia"/>
          <w:sz w:val="21"/>
          <w:szCs w:val="21"/>
          <w:lang w:val="en-US" w:eastAsia="zh-CN"/>
        </w:rPr>
        <w:t>可控</w:t>
      </w:r>
      <w:r>
        <w:rPr>
          <w:rFonts w:hint="eastAsia"/>
          <w:sz w:val="21"/>
          <w:szCs w:val="21"/>
        </w:rPr>
        <w:t>。本次评价以改善环境质量为核心，提出</w:t>
      </w:r>
      <w:r>
        <w:rPr>
          <w:rFonts w:hint="eastAsia"/>
          <w:sz w:val="21"/>
          <w:szCs w:val="21"/>
          <w:lang w:val="en-US" w:eastAsia="zh-CN"/>
        </w:rPr>
        <w:t>优化</w:t>
      </w:r>
      <w:r>
        <w:rPr>
          <w:rFonts w:hint="eastAsia"/>
          <w:sz w:val="21"/>
          <w:szCs w:val="21"/>
        </w:rPr>
        <w:t>调整建议和环境</w:t>
      </w:r>
      <w:r>
        <w:rPr>
          <w:rFonts w:hint="eastAsia"/>
          <w:sz w:val="21"/>
          <w:szCs w:val="21"/>
          <w:lang w:val="en-US" w:eastAsia="zh-CN"/>
        </w:rPr>
        <w:t>影响</w:t>
      </w:r>
      <w:r>
        <w:rPr>
          <w:rFonts w:hint="eastAsia"/>
          <w:sz w:val="21"/>
          <w:szCs w:val="21"/>
        </w:rPr>
        <w:t>减缓对策措施，以</w:t>
      </w:r>
      <w:r>
        <w:rPr>
          <w:rFonts w:hint="eastAsia"/>
          <w:sz w:val="21"/>
          <w:szCs w:val="21"/>
          <w:lang w:val="en-US" w:eastAsia="zh-CN"/>
        </w:rPr>
        <w:t>期</w:t>
      </w:r>
      <w:r>
        <w:rPr>
          <w:rFonts w:hint="eastAsia"/>
          <w:sz w:val="21"/>
          <w:szCs w:val="21"/>
        </w:rPr>
        <w:t>有效预防和减轻规划实施的不利影响</w:t>
      </w:r>
    </w:p>
    <w:p>
      <w:pPr>
        <w:rPr>
          <w:rFonts w:hint="default"/>
          <w:b/>
          <w:bCs/>
        </w:rPr>
      </w:pPr>
      <w:r>
        <w:rPr>
          <w:rFonts w:hint="eastAsia"/>
          <w:b/>
          <w:bCs/>
          <w:lang w:val="en-US" w:eastAsia="zh-CN"/>
        </w:rPr>
        <w:t>五</w:t>
      </w:r>
      <w:r>
        <w:rPr>
          <w:rFonts w:hint="eastAsia"/>
          <w:b/>
          <w:bCs/>
        </w:rPr>
        <w:t>、征求公众意见的范围与主要事项</w:t>
      </w:r>
    </w:p>
    <w:p>
      <w:pPr>
        <w:ind w:firstLine="420" w:firstLineChars="200"/>
        <w:rPr>
          <w:rFonts w:hint="default"/>
        </w:rPr>
      </w:pPr>
      <w:r>
        <w:rPr>
          <w:rFonts w:hint="eastAsia"/>
        </w:rPr>
        <w:t>相关企事业单位、职能部门及公众均可提出建议意见。主要征询意见事项如下：</w:t>
      </w:r>
    </w:p>
    <w:p>
      <w:pPr>
        <w:numPr>
          <w:ilvl w:val="0"/>
          <w:numId w:val="6"/>
        </w:numPr>
        <w:rPr>
          <w:rFonts w:hint="eastAsia"/>
        </w:rPr>
      </w:pPr>
      <w:r>
        <w:rPr>
          <w:rFonts w:hint="eastAsia"/>
        </w:rPr>
        <w:t>公众对规划的意见和建议；</w:t>
      </w:r>
    </w:p>
    <w:p>
      <w:pPr>
        <w:rPr>
          <w:rFonts w:hint="default"/>
        </w:rPr>
      </w:pPr>
      <w:r>
        <w:rPr>
          <w:rFonts w:hint="eastAsia"/>
          <w:lang w:eastAsia="zh-CN"/>
        </w:rPr>
        <w:t>（</w:t>
      </w:r>
      <w:r>
        <w:rPr>
          <w:rFonts w:hint="eastAsia"/>
          <w:lang w:val="en-US" w:eastAsia="zh-CN"/>
        </w:rPr>
        <w:t>2</w:t>
      </w:r>
      <w:r>
        <w:rPr>
          <w:rFonts w:hint="eastAsia"/>
          <w:lang w:eastAsia="zh-CN"/>
        </w:rPr>
        <w:t>）</w:t>
      </w:r>
      <w:r>
        <w:rPr>
          <w:rFonts w:hint="eastAsia"/>
          <w:lang w:val="en-US" w:eastAsia="zh-CN"/>
        </w:rPr>
        <w:t>公众对规划区域环境质量现状的看法；</w:t>
      </w:r>
    </w:p>
    <w:p>
      <w:pPr>
        <w:rPr>
          <w:rFonts w:hint="eastAsia"/>
        </w:rPr>
      </w:pPr>
      <w:r>
        <w:rPr>
          <w:rFonts w:hint="eastAsia"/>
        </w:rPr>
        <w:t>（</w:t>
      </w:r>
      <w:r>
        <w:rPr>
          <w:rFonts w:hint="eastAsia"/>
          <w:lang w:val="en-US" w:eastAsia="zh-CN"/>
        </w:rPr>
        <w:t>3</w:t>
      </w:r>
      <w:r>
        <w:rPr>
          <w:rFonts w:hint="eastAsia"/>
        </w:rPr>
        <w:t>）公众对规划实施可能涉及的环境问题的意见和建议；</w:t>
      </w:r>
    </w:p>
    <w:p>
      <w:pPr>
        <w:rPr>
          <w:rFonts w:hint="default"/>
        </w:rPr>
      </w:pPr>
      <w:r>
        <w:rPr>
          <w:rFonts w:hint="eastAsia"/>
        </w:rPr>
        <w:t>（</w:t>
      </w:r>
      <w:r>
        <w:rPr>
          <w:rFonts w:hint="eastAsia"/>
          <w:lang w:val="en-US" w:eastAsia="zh-CN"/>
        </w:rPr>
        <w:t>4</w:t>
      </w:r>
      <w:r>
        <w:rPr>
          <w:rFonts w:hint="eastAsia"/>
        </w:rPr>
        <w:t>）公众对规划环境影响评价工作的意见和建议；</w:t>
      </w:r>
    </w:p>
    <w:p>
      <w:pPr>
        <w:rPr>
          <w:rFonts w:hint="eastAsia" w:eastAsia="宋体"/>
          <w:lang w:eastAsia="zh-CN"/>
        </w:rPr>
      </w:pPr>
      <w:r>
        <w:rPr>
          <w:rFonts w:hint="eastAsia"/>
        </w:rPr>
        <w:t>（</w:t>
      </w:r>
      <w:r>
        <w:rPr>
          <w:rFonts w:hint="eastAsia"/>
          <w:lang w:val="en-US" w:eastAsia="zh-CN"/>
        </w:rPr>
        <w:t>5</w:t>
      </w:r>
      <w:r>
        <w:rPr>
          <w:rFonts w:hint="eastAsia"/>
        </w:rPr>
        <w:t>）其他的建议</w:t>
      </w:r>
      <w:r>
        <w:rPr>
          <w:rFonts w:hint="eastAsia"/>
          <w:lang w:eastAsia="zh-CN"/>
        </w:rPr>
        <w:t>。</w:t>
      </w:r>
    </w:p>
    <w:p>
      <w:pPr>
        <w:rPr>
          <w:rFonts w:hint="default"/>
          <w:b/>
          <w:bCs/>
        </w:rPr>
      </w:pPr>
      <w:r>
        <w:rPr>
          <w:rFonts w:hint="eastAsia"/>
          <w:b/>
          <w:bCs/>
          <w:lang w:val="en-US" w:eastAsia="zh-CN"/>
        </w:rPr>
        <w:t>六</w:t>
      </w:r>
      <w:r>
        <w:rPr>
          <w:rFonts w:hint="eastAsia"/>
          <w:b/>
          <w:bCs/>
        </w:rPr>
        <w:t>、公众意见表的网络链接</w:t>
      </w:r>
    </w:p>
    <w:p>
      <w:pPr>
        <w:rPr>
          <w:rFonts w:hint="eastAsia"/>
          <w:lang w:val="en-US" w:eastAsia="zh-CN"/>
        </w:rPr>
      </w:pPr>
      <w:r>
        <w:rPr>
          <w:rFonts w:hint="eastAsia"/>
          <w:lang w:val="en-US" w:eastAsia="zh-CN"/>
        </w:rPr>
        <w:fldChar w:fldCharType="begin"/>
      </w:r>
      <w:r>
        <w:rPr>
          <w:rFonts w:hint="eastAsia"/>
          <w:lang w:val="en-US" w:eastAsia="zh-CN"/>
        </w:rPr>
        <w:instrText xml:space="preserve"> HYPERLINK "http://www.mee.gov.cn/xxgk2018/xxgk/xxgk01/201810/t20181024_665329.html" </w:instrText>
      </w:r>
      <w:r>
        <w:rPr>
          <w:rFonts w:hint="eastAsia"/>
          <w:lang w:val="en-US" w:eastAsia="zh-CN"/>
        </w:rPr>
        <w:fldChar w:fldCharType="separate"/>
      </w:r>
      <w:r>
        <w:rPr>
          <w:rStyle w:val="8"/>
          <w:rFonts w:hint="eastAsia"/>
          <w:lang w:val="en-US" w:eastAsia="zh-CN"/>
        </w:rPr>
        <w:t>http://www.mee.gov.cn/xxgk2018/xxgk/xxgk01/201810/t20181024_665329.html</w:t>
      </w:r>
      <w:r>
        <w:rPr>
          <w:rFonts w:hint="eastAsia"/>
          <w:lang w:val="en-US" w:eastAsia="zh-CN"/>
        </w:rPr>
        <w:fldChar w:fldCharType="end"/>
      </w:r>
    </w:p>
    <w:p>
      <w:pPr>
        <w:rPr>
          <w:rFonts w:hint="eastAsia"/>
          <w:b/>
          <w:bCs/>
        </w:rPr>
      </w:pPr>
      <w:r>
        <w:rPr>
          <w:rFonts w:hint="eastAsia"/>
          <w:b/>
          <w:bCs/>
          <w:lang w:val="en-US" w:eastAsia="zh-CN"/>
        </w:rPr>
        <w:t>七</w:t>
      </w:r>
      <w:r>
        <w:rPr>
          <w:rFonts w:hint="eastAsia"/>
          <w:b/>
          <w:bCs/>
        </w:rPr>
        <w:t>、公众提出意见的主要方式</w:t>
      </w:r>
    </w:p>
    <w:p>
      <w:pPr>
        <w:ind w:firstLine="420" w:firstLineChars="200"/>
        <w:rPr>
          <w:rFonts w:hint="default"/>
        </w:rPr>
      </w:pPr>
      <w:r>
        <w:rPr>
          <w:rFonts w:hint="eastAsia"/>
        </w:rPr>
        <w:t>在本信息公示后</w:t>
      </w:r>
      <w:r>
        <w:rPr>
          <w:rFonts w:hint="default"/>
        </w:rPr>
        <w:t>10</w:t>
      </w:r>
      <w:r>
        <w:rPr>
          <w:rFonts w:hint="eastAsia"/>
        </w:rPr>
        <w:t>个工作日内，公众可通过邮件、传真、电话、信函等方式，发表对该项规划及环评工作的意见和建议。</w:t>
      </w:r>
    </w:p>
    <w:p>
      <w:pPr>
        <w:rPr>
          <w:rFonts w:hint="eastAsia"/>
          <w:lang w:val="en-US" w:eastAsia="zh-CN"/>
        </w:rPr>
      </w:pPr>
      <w:r>
        <w:rPr>
          <w:rFonts w:hint="default"/>
        </w:rPr>
        <w:t>[</w:t>
      </w:r>
      <w:r>
        <w:rPr>
          <w:rFonts w:hint="eastAsia"/>
        </w:rPr>
        <w:t>注</w:t>
      </w:r>
      <w:r>
        <w:rPr>
          <w:rFonts w:hint="default"/>
        </w:rPr>
        <w:t>]</w:t>
      </w:r>
      <w:r>
        <w:rPr>
          <w:rFonts w:hint="eastAsia"/>
        </w:rPr>
        <w:t>：请公众在发表意见的同时提供详尽的联系方式，以便联系和反馈</w:t>
      </w:r>
      <w:r>
        <w:rPr>
          <w:rFonts w:hint="eastAsia"/>
          <w:lang w:eastAsia="zh-CN"/>
        </w:rPr>
        <w:t>，</w:t>
      </w:r>
      <w:r>
        <w:rPr>
          <w:rFonts w:hint="eastAsia"/>
          <w:lang w:val="en-US" w:eastAsia="zh-CN"/>
        </w:rPr>
        <w:t>您的个人信息未经允许不会对外公开（法律法规另有规定的除外）。</w:t>
      </w:r>
    </w:p>
    <w:p>
      <w:pPr>
        <w:rPr>
          <w:rFonts w:hint="default"/>
          <w:b/>
          <w:bCs/>
        </w:rPr>
      </w:pPr>
      <w:r>
        <w:rPr>
          <w:rFonts w:hint="eastAsia"/>
          <w:b/>
          <w:bCs/>
          <w:lang w:val="en-US" w:eastAsia="zh-CN"/>
        </w:rPr>
        <w:t>八</w:t>
      </w:r>
      <w:r>
        <w:rPr>
          <w:rFonts w:hint="eastAsia"/>
          <w:b/>
          <w:bCs/>
        </w:rPr>
        <w:t>、联系方式</w:t>
      </w:r>
    </w:p>
    <w:p>
      <w:pPr>
        <w:rPr>
          <w:rFonts w:hint="eastAsia"/>
        </w:rPr>
      </w:pPr>
      <w:r>
        <w:rPr>
          <w:rFonts w:hint="default"/>
        </w:rPr>
        <w:t>1</w:t>
      </w:r>
      <w:r>
        <w:rPr>
          <w:rFonts w:hint="eastAsia"/>
        </w:rPr>
        <w:t>、规划</w:t>
      </w:r>
      <w:r>
        <w:rPr>
          <w:rFonts w:hint="eastAsia"/>
          <w:lang w:val="en-US" w:eastAsia="zh-CN"/>
        </w:rPr>
        <w:t>环评委托</w:t>
      </w:r>
      <w:r>
        <w:rPr>
          <w:rFonts w:hint="eastAsia"/>
        </w:rPr>
        <w:t>单位</w:t>
      </w:r>
    </w:p>
    <w:p>
      <w:pPr>
        <w:bidi w:val="0"/>
        <w:rPr>
          <w:rFonts w:hint="default" w:eastAsia="宋体"/>
          <w:lang w:val="en-US" w:eastAsia="zh-CN"/>
        </w:rPr>
      </w:pPr>
      <w:r>
        <w:rPr>
          <w:rFonts w:hint="default"/>
        </w:rPr>
        <w:t>单位名称：</w:t>
      </w:r>
      <w:r>
        <w:rPr>
          <w:rFonts w:hint="eastAsia"/>
          <w:lang w:val="en-US" w:eastAsia="zh-CN"/>
        </w:rPr>
        <w:t>油车港镇人民政府</w:t>
      </w:r>
    </w:p>
    <w:p>
      <w:pPr>
        <w:bidi w:val="0"/>
        <w:rPr>
          <w:rFonts w:hint="default" w:eastAsia="宋体"/>
          <w:lang w:val="en-US" w:eastAsia="zh-CN"/>
        </w:rPr>
      </w:pPr>
      <w:r>
        <w:rPr>
          <w:rFonts w:hint="default"/>
        </w:rPr>
        <w:t>联系电话：</w:t>
      </w:r>
      <w:r>
        <w:rPr>
          <w:rFonts w:hint="eastAsia"/>
          <w:lang w:val="en-US" w:eastAsia="zh-CN"/>
        </w:rPr>
        <w:t>15068379044</w:t>
      </w:r>
    </w:p>
    <w:p>
      <w:pPr>
        <w:bidi w:val="0"/>
        <w:rPr>
          <w:rFonts w:hint="default" w:eastAsia="宋体"/>
          <w:lang w:val="en-US" w:eastAsia="zh-CN"/>
        </w:rPr>
      </w:pPr>
      <w:r>
        <w:rPr>
          <w:rFonts w:hint="eastAsia"/>
          <w:lang w:val="en-US" w:eastAsia="zh-CN"/>
        </w:rPr>
        <w:t>E-</w:t>
      </w:r>
      <w:r>
        <w:rPr>
          <w:rFonts w:hint="default"/>
        </w:rPr>
        <w:t>mail：</w:t>
      </w:r>
      <w:r>
        <w:rPr>
          <w:rFonts w:hint="eastAsia"/>
          <w:lang w:val="en-US" w:eastAsia="zh-CN"/>
        </w:rPr>
        <w:t>465391758@qq.com</w:t>
      </w:r>
    </w:p>
    <w:p>
      <w:pPr>
        <w:numPr>
          <w:ilvl w:val="0"/>
          <w:numId w:val="0"/>
        </w:numPr>
        <w:bidi w:val="0"/>
        <w:rPr>
          <w:rFonts w:hint="default" w:eastAsia="宋体"/>
          <w:lang w:val="en-US" w:eastAsia="zh-CN"/>
        </w:rPr>
      </w:pPr>
      <w:r>
        <w:rPr>
          <w:rFonts w:hint="default"/>
        </w:rPr>
        <w:t>邮政编码：</w:t>
      </w:r>
      <w:r>
        <w:rPr>
          <w:rFonts w:hint="eastAsia"/>
          <w:lang w:val="en-US" w:eastAsia="zh-CN"/>
        </w:rPr>
        <w:t>314019</w:t>
      </w:r>
    </w:p>
    <w:p>
      <w:pPr>
        <w:bidi w:val="0"/>
        <w:rPr>
          <w:rFonts w:hint="default" w:eastAsia="宋体"/>
          <w:lang w:val="en-US" w:eastAsia="zh-CN"/>
        </w:rPr>
      </w:pPr>
      <w:r>
        <w:rPr>
          <w:rFonts w:hint="default"/>
        </w:rPr>
        <w:t>通信地址：</w:t>
      </w:r>
      <w:r>
        <w:rPr>
          <w:rFonts w:hint="eastAsia"/>
          <w:lang w:eastAsia="zh-CN"/>
        </w:rPr>
        <w:t>浙江省嘉兴市秀洲区油车港镇人民政府奥星路</w:t>
      </w:r>
      <w:r>
        <w:rPr>
          <w:rFonts w:hint="eastAsia"/>
          <w:lang w:val="en-US" w:eastAsia="zh-CN"/>
        </w:rPr>
        <w:t>251号</w:t>
      </w:r>
    </w:p>
    <w:p>
      <w:pPr>
        <w:rPr>
          <w:rFonts w:hint="default"/>
        </w:rPr>
      </w:pPr>
    </w:p>
    <w:p>
      <w:pPr>
        <w:rPr>
          <w:rFonts w:hint="default"/>
        </w:rPr>
      </w:pPr>
      <w:r>
        <w:rPr>
          <w:rFonts w:hint="eastAsia"/>
          <w:lang w:val="en-US" w:eastAsia="zh-CN"/>
        </w:rPr>
        <w:t>2</w:t>
      </w:r>
      <w:r>
        <w:rPr>
          <w:rFonts w:hint="eastAsia"/>
        </w:rPr>
        <w:t>、承担环境影响评价的环评单位联系方式</w:t>
      </w:r>
    </w:p>
    <w:p>
      <w:pPr>
        <w:bidi w:val="0"/>
        <w:rPr>
          <w:rFonts w:hint="default"/>
        </w:rPr>
      </w:pPr>
      <w:r>
        <w:rPr>
          <w:rFonts w:hint="default"/>
        </w:rPr>
        <w:t>单位名称：</w:t>
      </w:r>
      <w:r>
        <w:rPr>
          <w:rFonts w:hint="eastAsia"/>
          <w:lang w:val="en-US" w:eastAsia="zh-CN"/>
        </w:rPr>
        <w:t>浙江环科环境研究院有限公司</w:t>
      </w:r>
    </w:p>
    <w:p>
      <w:pPr>
        <w:bidi w:val="0"/>
        <w:rPr>
          <w:rFonts w:hint="default" w:eastAsia="宋体"/>
          <w:lang w:val="en-US" w:eastAsia="zh-CN"/>
        </w:rPr>
      </w:pPr>
      <w:r>
        <w:rPr>
          <w:rFonts w:hint="default"/>
        </w:rPr>
        <w:t>联系电话：</w:t>
      </w:r>
      <w:r>
        <w:rPr>
          <w:rFonts w:hint="eastAsia"/>
          <w:lang w:val="en-US" w:eastAsia="zh-CN"/>
        </w:rPr>
        <w:t>0571-86105045</w:t>
      </w:r>
    </w:p>
    <w:p>
      <w:pPr>
        <w:numPr>
          <w:ilvl w:val="0"/>
          <w:numId w:val="7"/>
        </w:numPr>
        <w:bidi w:val="0"/>
        <w:rPr>
          <w:rFonts w:hint="default"/>
          <w:lang w:val="en-US" w:eastAsia="zh-CN"/>
        </w:rPr>
      </w:pPr>
      <w:r>
        <w:rPr>
          <w:rFonts w:hint="default"/>
        </w:rPr>
        <w:t>mail</w:t>
      </w:r>
      <w:r>
        <w:rPr>
          <w:rFonts w:hint="eastAsia"/>
          <w:lang w:eastAsia="zh-CN"/>
        </w:rPr>
        <w:t>：</w:t>
      </w:r>
      <w:r>
        <w:rPr>
          <w:rFonts w:hint="eastAsia"/>
          <w:lang w:val="en-US" w:eastAsia="zh-CN"/>
        </w:rPr>
        <w:fldChar w:fldCharType="begin"/>
      </w:r>
      <w:r>
        <w:rPr>
          <w:rFonts w:hint="eastAsia"/>
          <w:lang w:val="en-US" w:eastAsia="zh-CN"/>
        </w:rPr>
        <w:instrText xml:space="preserve"> HYPERLINK "mailto:473821461@qq.com" </w:instrText>
      </w:r>
      <w:r>
        <w:rPr>
          <w:rFonts w:hint="eastAsia"/>
          <w:lang w:val="en-US" w:eastAsia="zh-CN"/>
        </w:rPr>
        <w:fldChar w:fldCharType="separate"/>
      </w:r>
      <w:r>
        <w:rPr>
          <w:rStyle w:val="10"/>
          <w:rFonts w:hint="eastAsia"/>
          <w:lang w:val="en-US" w:eastAsia="zh-CN"/>
        </w:rPr>
        <w:t>473821461@qq.com</w:t>
      </w:r>
      <w:r>
        <w:rPr>
          <w:rFonts w:hint="eastAsia"/>
          <w:lang w:val="en-US" w:eastAsia="zh-CN"/>
        </w:rPr>
        <w:fldChar w:fldCharType="end"/>
      </w:r>
    </w:p>
    <w:p>
      <w:pPr>
        <w:bidi w:val="0"/>
        <w:rPr>
          <w:rFonts w:hint="default" w:eastAsia="宋体"/>
          <w:lang w:val="en-US" w:eastAsia="zh-CN"/>
        </w:rPr>
      </w:pPr>
      <w:r>
        <w:rPr>
          <w:rFonts w:hint="default"/>
        </w:rPr>
        <w:t>邮政编码：</w:t>
      </w:r>
      <w:r>
        <w:rPr>
          <w:rFonts w:hint="eastAsia"/>
          <w:lang w:val="en-US" w:eastAsia="zh-CN"/>
        </w:rPr>
        <w:t>311100</w:t>
      </w:r>
    </w:p>
    <w:p>
      <w:pPr>
        <w:bidi w:val="0"/>
        <w:rPr>
          <w:rFonts w:hint="eastAsia"/>
          <w:lang w:eastAsia="zh-CN"/>
        </w:rPr>
      </w:pPr>
      <w:r>
        <w:rPr>
          <w:rFonts w:hint="default"/>
        </w:rPr>
        <w:t>通信地址：浙江省杭州市余杭区五常街道联创街199号</w:t>
      </w:r>
      <w:r>
        <w:rPr>
          <w:rFonts w:hint="eastAsia"/>
          <w:lang w:eastAsia="zh-CN"/>
        </w:rPr>
        <w:t>（</w:t>
      </w:r>
      <w:r>
        <w:rPr>
          <w:rFonts w:hint="eastAsia"/>
          <w:lang w:val="en-US" w:eastAsia="zh-CN"/>
        </w:rPr>
        <w:t>2号楼</w:t>
      </w:r>
      <w:r>
        <w:rPr>
          <w:rFonts w:hint="eastAsia"/>
          <w:lang w:eastAsia="zh-CN"/>
        </w:rPr>
        <w:t>）</w:t>
      </w:r>
    </w:p>
    <w:p>
      <w:pPr>
        <w:bidi w:val="0"/>
        <w:rPr>
          <w:rFonts w:hint="default"/>
          <w:lang w:eastAsia="zh-CN"/>
        </w:rPr>
      </w:pPr>
    </w:p>
    <w:p>
      <w:pPr>
        <w:rPr>
          <w:rFonts w:hint="eastAsia"/>
        </w:rPr>
      </w:pPr>
      <w:r>
        <w:rPr>
          <w:rFonts w:hint="eastAsia"/>
          <w:lang w:val="en-US" w:eastAsia="zh-CN"/>
        </w:rPr>
        <w:t>3、</w:t>
      </w:r>
      <w:r>
        <w:rPr>
          <w:rFonts w:hint="eastAsia"/>
        </w:rPr>
        <w:t>当地生态环境主管部门</w:t>
      </w:r>
    </w:p>
    <w:p>
      <w:pPr>
        <w:rPr>
          <w:rFonts w:hint="eastAsia"/>
        </w:rPr>
      </w:pPr>
      <w:r>
        <w:rPr>
          <w:rFonts w:hint="eastAsia"/>
        </w:rPr>
        <w:t>单位名称：嘉兴市生态环境局秀洲分局</w:t>
      </w:r>
    </w:p>
    <w:p>
      <w:pPr>
        <w:rPr>
          <w:rFonts w:hint="default"/>
        </w:rPr>
      </w:pPr>
      <w:r>
        <w:rPr>
          <w:rFonts w:hint="eastAsia"/>
          <w:lang w:val="en-US" w:eastAsia="zh-CN"/>
        </w:rPr>
        <w:t>联系</w:t>
      </w:r>
      <w:r>
        <w:rPr>
          <w:rFonts w:hint="eastAsia"/>
        </w:rPr>
        <w:t>电话：0573-827218</w:t>
      </w:r>
      <w:r>
        <w:rPr>
          <w:rFonts w:hint="default"/>
        </w:rPr>
        <w:t>26</w:t>
      </w:r>
    </w:p>
    <w:p>
      <w:pPr>
        <w:rPr>
          <w:rFonts w:hint="eastAsia"/>
        </w:rPr>
      </w:pPr>
      <w:r>
        <w:rPr>
          <w:rFonts w:hint="eastAsia"/>
        </w:rPr>
        <w:t>邮编：314031</w:t>
      </w:r>
    </w:p>
    <w:p>
      <w:pPr>
        <w:rPr>
          <w:rFonts w:hint="eastAsia"/>
        </w:rPr>
      </w:pPr>
      <w:r>
        <w:rPr>
          <w:rFonts w:hint="eastAsia"/>
          <w:lang w:val="en-US" w:eastAsia="zh-CN"/>
        </w:rPr>
        <w:t>通信</w:t>
      </w:r>
      <w:r>
        <w:rPr>
          <w:rFonts w:hint="eastAsia"/>
        </w:rPr>
        <w:t>地址：嘉兴市秀洲区新秀路351号7楼</w:t>
      </w:r>
    </w:p>
    <w:p>
      <w:pPr>
        <w:bidi w:val="0"/>
        <w:rPr>
          <w:rFonts w:hint="default"/>
          <w:lang w:eastAsia="zh-CN"/>
        </w:rPr>
      </w:pPr>
    </w:p>
    <w:p>
      <w:pPr>
        <w:rPr>
          <w:rFonts w:hint="default" w:eastAsia="宋体"/>
          <w:lang w:val="en-US" w:eastAsia="zh-CN"/>
        </w:rPr>
      </w:pPr>
      <w:r>
        <w:rPr>
          <w:rFonts w:hint="eastAsia"/>
        </w:rPr>
        <w:t>公告发布单位：</w:t>
      </w:r>
      <w:r>
        <w:rPr>
          <w:rFonts w:hint="eastAsia"/>
          <w:lang w:val="en-US" w:eastAsia="zh-CN"/>
        </w:rPr>
        <w:t>油车港镇人民政府</w:t>
      </w:r>
    </w:p>
    <w:p>
      <w:r>
        <w:rPr>
          <w:rFonts w:hint="eastAsia"/>
        </w:rPr>
        <w:t>公告发布时间：</w:t>
      </w:r>
      <w:r>
        <w:rPr>
          <w:rFonts w:hint="default"/>
        </w:rPr>
        <w:t>202</w:t>
      </w:r>
      <w:r>
        <w:rPr>
          <w:rFonts w:hint="eastAsia"/>
          <w:lang w:val="en-US" w:eastAsia="zh-CN"/>
        </w:rPr>
        <w:t>4</w:t>
      </w:r>
      <w:r>
        <w:rPr>
          <w:rFonts w:hint="eastAsia"/>
        </w:rPr>
        <w:t>年</w:t>
      </w:r>
      <w:r>
        <w:rPr>
          <w:rFonts w:hint="eastAsia"/>
          <w:lang w:val="en-US" w:eastAsia="zh-CN"/>
        </w:rPr>
        <w:t>4</w:t>
      </w:r>
      <w:r>
        <w:rPr>
          <w:rFonts w:hint="eastAsia"/>
        </w:rPr>
        <w:t>月</w:t>
      </w:r>
      <w:r>
        <w:rPr>
          <w:rFonts w:hint="eastAsia"/>
          <w:lang w:val="en-US" w:eastAsia="zh-CN"/>
        </w:rPr>
        <w:t>23</w:t>
      </w:r>
      <w:r>
        <w:rPr>
          <w:rFonts w:hint="eastAsia"/>
        </w:rPr>
        <w:t>日</w:t>
      </w:r>
      <w:bookmarkStart w:id="3" w:name="_GoBack"/>
      <w:bookmarkEnd w:id="3"/>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5CB34D"/>
    <w:multiLevelType w:val="singleLevel"/>
    <w:tmpl w:val="AD5CB34D"/>
    <w:lvl w:ilvl="0" w:tentative="0">
      <w:start w:val="2"/>
      <w:numFmt w:val="chineseCounting"/>
      <w:suff w:val="nothing"/>
      <w:lvlText w:val="（%1）"/>
      <w:lvlJc w:val="left"/>
      <w:rPr>
        <w:rFonts w:hint="eastAsia"/>
      </w:rPr>
    </w:lvl>
  </w:abstractNum>
  <w:abstractNum w:abstractNumId="1">
    <w:nsid w:val="DEE2EAF9"/>
    <w:multiLevelType w:val="singleLevel"/>
    <w:tmpl w:val="DEE2EAF9"/>
    <w:lvl w:ilvl="0" w:tentative="0">
      <w:start w:val="5"/>
      <w:numFmt w:val="chineseCounting"/>
      <w:suff w:val="nothing"/>
      <w:lvlText w:val="（%1）"/>
      <w:lvlJc w:val="left"/>
      <w:rPr>
        <w:rFonts w:hint="eastAsia"/>
        <w:b/>
        <w:bCs/>
      </w:rPr>
    </w:lvl>
  </w:abstractNum>
  <w:abstractNum w:abstractNumId="2">
    <w:nsid w:val="E5F77FA1"/>
    <w:multiLevelType w:val="singleLevel"/>
    <w:tmpl w:val="E5F77FA1"/>
    <w:lvl w:ilvl="0" w:tentative="0">
      <w:start w:val="1"/>
      <w:numFmt w:val="decimal"/>
      <w:suff w:val="nothing"/>
      <w:lvlText w:val="（%1）"/>
      <w:lvlJc w:val="left"/>
      <w:rPr>
        <w:rFonts w:hint="default"/>
        <w:b w:val="0"/>
        <w:bCs w:val="0"/>
      </w:rPr>
    </w:lvl>
  </w:abstractNum>
  <w:abstractNum w:abstractNumId="3">
    <w:nsid w:val="FF6FBF53"/>
    <w:multiLevelType w:val="singleLevel"/>
    <w:tmpl w:val="FF6FBF53"/>
    <w:lvl w:ilvl="0" w:tentative="0">
      <w:start w:val="1"/>
      <w:numFmt w:val="decimal"/>
      <w:suff w:val="nothing"/>
      <w:lvlText w:val="（%1）"/>
      <w:lvlJc w:val="left"/>
    </w:lvl>
  </w:abstractNum>
  <w:abstractNum w:abstractNumId="4">
    <w:nsid w:val="FFF23533"/>
    <w:multiLevelType w:val="singleLevel"/>
    <w:tmpl w:val="FFF23533"/>
    <w:lvl w:ilvl="0" w:tentative="0">
      <w:start w:val="1"/>
      <w:numFmt w:val="decimal"/>
      <w:suff w:val="nothing"/>
      <w:lvlText w:val="（%1）"/>
      <w:lvlJc w:val="left"/>
    </w:lvl>
  </w:abstractNum>
  <w:abstractNum w:abstractNumId="5">
    <w:nsid w:val="6BF7BC72"/>
    <w:multiLevelType w:val="singleLevel"/>
    <w:tmpl w:val="6BF7BC72"/>
    <w:lvl w:ilvl="0" w:tentative="0">
      <w:start w:val="1"/>
      <w:numFmt w:val="chineseCounting"/>
      <w:suff w:val="nothing"/>
      <w:lvlText w:val="%1、"/>
      <w:lvlJc w:val="left"/>
      <w:rPr>
        <w:rFonts w:hint="eastAsia"/>
      </w:rPr>
    </w:lvl>
  </w:abstractNum>
  <w:abstractNum w:abstractNumId="6">
    <w:nsid w:val="77344688"/>
    <w:multiLevelType w:val="singleLevel"/>
    <w:tmpl w:val="77344688"/>
    <w:lvl w:ilvl="0" w:tentative="0">
      <w:start w:val="5"/>
      <w:numFmt w:val="upperLetter"/>
      <w:suff w:val="nothing"/>
      <w:lvlText w:val="%1-"/>
      <w:lvlJc w:val="left"/>
    </w:lvl>
  </w:abstractNum>
  <w:num w:numId="1">
    <w:abstractNumId w:val="5"/>
  </w:num>
  <w:num w:numId="2">
    <w:abstractNumId w:val="1"/>
  </w:num>
  <w:num w:numId="3">
    <w:abstractNumId w:val="0"/>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EBE19EB"/>
    <w:rsid w:val="AFFFF492"/>
    <w:rsid w:val="DF77AF77"/>
    <w:rsid w:val="F7B5E86A"/>
    <w:rsid w:val="FEBE1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caption"/>
    <w:basedOn w:val="1"/>
    <w:next w:val="1"/>
    <w:unhideWhenUsed/>
    <w:qFormat/>
    <w:uiPriority w:val="0"/>
    <w:rPr>
      <w:rFonts w:ascii="Arial" w:hAnsi="Arial" w:eastAsia="黑体"/>
      <w:sz w:val="20"/>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FollowedHyperlink"/>
    <w:basedOn w:val="6"/>
    <w:qFormat/>
    <w:uiPriority w:val="0"/>
    <w:rPr>
      <w:color w:val="800080"/>
      <w:u w:val="single"/>
    </w:rPr>
  </w:style>
  <w:style w:type="character" w:styleId="9">
    <w:name w:val="Emphasis"/>
    <w:basedOn w:val="6"/>
    <w:qFormat/>
    <w:uiPriority w:val="0"/>
    <w:rPr>
      <w:i/>
    </w:rPr>
  </w:style>
  <w:style w:type="character" w:styleId="10">
    <w:name w:val="Hyperlink"/>
    <w:basedOn w:val="6"/>
    <w:uiPriority w:val="0"/>
    <w:rPr>
      <w:color w:val="0000FF"/>
      <w:u w:val="single"/>
    </w:rPr>
  </w:style>
  <w:style w:type="table" w:customStyle="1" w:styleId="11">
    <w:name w:val="Table Normal"/>
    <w:unhideWhenUsed/>
    <w:qFormat/>
    <w:uiPriority w:val="0"/>
    <w:tblPr>
      <w:tblCellMar>
        <w:top w:w="0" w:type="dxa"/>
        <w:left w:w="0" w:type="dxa"/>
        <w:bottom w:w="0" w:type="dxa"/>
        <w:right w:w="0" w:type="dxa"/>
      </w:tblCellMar>
    </w:tblPr>
  </w:style>
  <w:style w:type="paragraph" w:customStyle="1" w:styleId="12">
    <w:name w:val="正文定"/>
    <w:basedOn w:val="1"/>
    <w:qFormat/>
    <w:uiPriority w:val="0"/>
    <w:pPr>
      <w:ind w:firstLine="641"/>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Office_11.8.2.1131_F1E327BC-269C-435d-A152-05C5408002CA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2024-04-23T03:00:00Z</dcterms:created>
  <dc:creator>并肩、</dc:creator>
  <cp:lastModifiedBy>user</cp:lastModifiedBy>
  <dcterms:modified xsi:type="dcterms:W3CDTF">2024-04-23T10:46:56Z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2052-11.8.2.1131</vt:lpwstr>
  </property>
  <property fmtid="{D5CDD505-2E9C-101B-9397-08002B2CF9AE}" pid="3" name="ICV">
    <vt:lpwstr>B46D4ECFFD33CC28C91C276611373528_43</vt:lpwstr>
  </property>
</Properties>
</file>