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rPr>
          <w:rFonts w:ascii="仿宋_GB2312"/>
          <w:color w:val="000000"/>
          <w:sz w:val="30"/>
          <w:szCs w:val="30"/>
        </w:rPr>
      </w:pPr>
    </w:p>
    <w:tbl>
      <w:tblPr>
        <w:tblStyle w:val="11"/>
        <w:tblW w:w="8772" w:type="dxa"/>
        <w:jc w:val="center"/>
        <w:tblInd w:w="0" w:type="dxa"/>
        <w:tblLayout w:type="fixed"/>
        <w:tblCellMar>
          <w:top w:w="0" w:type="dxa"/>
          <w:left w:w="108" w:type="dxa"/>
          <w:bottom w:w="0" w:type="dxa"/>
          <w:right w:w="108" w:type="dxa"/>
        </w:tblCellMar>
      </w:tblPr>
      <w:tblGrid>
        <w:gridCol w:w="7200"/>
        <w:gridCol w:w="1572"/>
      </w:tblGrid>
      <w:tr>
        <w:tblPrEx>
          <w:tblLayout w:type="fixed"/>
          <w:tblCellMar>
            <w:top w:w="0" w:type="dxa"/>
            <w:left w:w="108" w:type="dxa"/>
            <w:bottom w:w="0" w:type="dxa"/>
            <w:right w:w="108" w:type="dxa"/>
          </w:tblCellMar>
        </w:tblPrEx>
        <w:trPr>
          <w:cantSplit/>
          <w:trHeight w:val="1020" w:hRule="atLeast"/>
          <w:jc w:val="center"/>
        </w:trPr>
        <w:tc>
          <w:tcPr>
            <w:tcW w:w="7200" w:type="dxa"/>
          </w:tcPr>
          <w:p>
            <w:pPr>
              <w:snapToGrid w:val="0"/>
              <w:spacing w:line="1000" w:lineRule="exact"/>
              <w:ind w:left="-57" w:right="-57" w:firstLine="0" w:firstLineChars="0"/>
              <w:jc w:val="distribute"/>
              <w:rPr>
                <w:rFonts w:ascii="方正小标宋简体" w:eastAsia="方正小标宋简体"/>
                <w:color w:val="FF0000"/>
                <w:spacing w:val="-20"/>
                <w:w w:val="76"/>
                <w:sz w:val="72"/>
                <w:szCs w:val="72"/>
              </w:rPr>
            </w:pPr>
            <w:r>
              <w:rPr>
                <w:rFonts w:hint="eastAsia" w:ascii="方正小标宋简体" w:eastAsia="方正小标宋简体"/>
                <w:color w:val="FF0000"/>
                <w:spacing w:val="-20"/>
                <w:w w:val="76"/>
                <w:sz w:val="72"/>
                <w:szCs w:val="72"/>
              </w:rPr>
              <w:t>嘉兴市秀洲区发展和改革局</w:t>
            </w:r>
          </w:p>
        </w:tc>
        <w:tc>
          <w:tcPr>
            <w:tcW w:w="1572" w:type="dxa"/>
            <w:vMerge w:val="restart"/>
            <w:vAlign w:val="center"/>
          </w:tcPr>
          <w:p>
            <w:pPr>
              <w:snapToGrid w:val="0"/>
              <w:spacing w:line="240" w:lineRule="auto"/>
              <w:ind w:left="-57" w:right="-57" w:firstLine="0" w:firstLineChars="0"/>
              <w:jc w:val="center"/>
              <w:rPr>
                <w:rFonts w:ascii="方正小标宋简体" w:eastAsia="方正小标宋简体"/>
                <w:color w:val="FF0000"/>
                <w:w w:val="60"/>
                <w:sz w:val="120"/>
                <w:szCs w:val="30"/>
              </w:rPr>
            </w:pPr>
            <w:r>
              <w:rPr>
                <w:rFonts w:hint="eastAsia" w:ascii="方正小标宋简体" w:eastAsia="方正小标宋简体"/>
                <w:color w:val="FF0000"/>
                <w:w w:val="60"/>
                <w:sz w:val="120"/>
                <w:szCs w:val="30"/>
              </w:rPr>
              <w:t>文件</w:t>
            </w:r>
          </w:p>
        </w:tc>
      </w:tr>
      <w:tr>
        <w:tblPrEx>
          <w:tblLayout w:type="fixed"/>
          <w:tblCellMar>
            <w:top w:w="0" w:type="dxa"/>
            <w:left w:w="108" w:type="dxa"/>
            <w:bottom w:w="0" w:type="dxa"/>
            <w:right w:w="108" w:type="dxa"/>
          </w:tblCellMar>
        </w:tblPrEx>
        <w:trPr>
          <w:cantSplit/>
          <w:trHeight w:val="1020" w:hRule="atLeast"/>
          <w:jc w:val="center"/>
        </w:trPr>
        <w:tc>
          <w:tcPr>
            <w:tcW w:w="7200" w:type="dxa"/>
            <w:vAlign w:val="bottom"/>
          </w:tcPr>
          <w:p>
            <w:pPr>
              <w:snapToGrid w:val="0"/>
              <w:spacing w:line="1000" w:lineRule="exact"/>
              <w:ind w:left="-57" w:right="-57" w:firstLine="0" w:firstLineChars="0"/>
              <w:jc w:val="distribute"/>
              <w:rPr>
                <w:rFonts w:ascii="方正小标宋简体" w:eastAsia="方正小标宋简体"/>
                <w:color w:val="FF0000"/>
                <w:spacing w:val="-20"/>
                <w:w w:val="76"/>
                <w:sz w:val="72"/>
                <w:szCs w:val="72"/>
              </w:rPr>
            </w:pPr>
            <w:r>
              <w:rPr>
                <w:rFonts w:hint="eastAsia" w:ascii="方正小标宋简体" w:eastAsia="方正小标宋简体"/>
                <w:color w:val="FF0000"/>
                <w:spacing w:val="-20"/>
                <w:w w:val="76"/>
                <w:sz w:val="72"/>
                <w:szCs w:val="72"/>
              </w:rPr>
              <w:t>嘉兴市秀洲区红十字会</w:t>
            </w:r>
          </w:p>
        </w:tc>
        <w:tc>
          <w:tcPr>
            <w:tcW w:w="1572" w:type="dxa"/>
            <w:vMerge w:val="continue"/>
            <w:vAlign w:val="center"/>
          </w:tcPr>
          <w:p>
            <w:pPr>
              <w:widowControl/>
              <w:spacing w:line="240" w:lineRule="auto"/>
              <w:ind w:firstLine="0" w:firstLineChars="0"/>
              <w:jc w:val="left"/>
              <w:rPr>
                <w:rFonts w:ascii="方正小标宋简体" w:eastAsia="方正小标宋简体"/>
                <w:color w:val="FF0000"/>
                <w:w w:val="60"/>
                <w:sz w:val="120"/>
                <w:szCs w:val="30"/>
              </w:rPr>
            </w:pPr>
          </w:p>
        </w:tc>
      </w:tr>
    </w:tbl>
    <w:p>
      <w:pPr>
        <w:adjustRightInd w:val="0"/>
        <w:snapToGrid w:val="0"/>
        <w:spacing w:line="348" w:lineRule="auto"/>
        <w:ind w:firstLine="0" w:firstLineChars="0"/>
        <w:rPr>
          <w:rFonts w:ascii="仿宋_GB2312"/>
          <w:sz w:val="28"/>
          <w:szCs w:val="28"/>
        </w:rPr>
      </w:pPr>
    </w:p>
    <w:p>
      <w:pPr>
        <w:adjustRightInd w:val="0"/>
        <w:snapToGrid w:val="0"/>
        <w:spacing w:line="348" w:lineRule="auto"/>
        <w:ind w:firstLine="0" w:firstLineChars="0"/>
        <w:rPr>
          <w:rFonts w:ascii="仿宋_GB2312"/>
          <w:sz w:val="28"/>
          <w:szCs w:val="28"/>
        </w:rPr>
      </w:pPr>
    </w:p>
    <w:tbl>
      <w:tblPr>
        <w:tblStyle w:val="11"/>
        <w:tblW w:w="8968" w:type="dxa"/>
        <w:jc w:val="center"/>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8968" w:type="dxa"/>
            <w:tcBorders>
              <w:top w:val="nil"/>
              <w:left w:val="nil"/>
              <w:bottom w:val="single" w:color="FF0000" w:sz="24" w:space="0"/>
              <w:right w:val="nil"/>
            </w:tcBorders>
          </w:tcPr>
          <w:p>
            <w:pPr>
              <w:snapToGrid w:val="0"/>
              <w:spacing w:line="288" w:lineRule="auto"/>
              <w:ind w:firstLine="160" w:firstLineChars="50"/>
              <w:jc w:val="center"/>
              <w:rPr>
                <w:color w:val="000000"/>
                <w:szCs w:val="32"/>
              </w:rPr>
            </w:pPr>
            <w:r>
              <w:rPr>
                <w:rFonts w:hint="eastAsia" w:ascii="仿宋_GB2312"/>
                <w:color w:val="000000"/>
                <w:szCs w:val="32"/>
              </w:rPr>
              <w:t>秀洲发改〔</w:t>
            </w:r>
            <w:r>
              <w:rPr>
                <w:rFonts w:ascii="仿宋_GB2312"/>
                <w:color w:val="000000"/>
                <w:szCs w:val="32"/>
              </w:rPr>
              <w:t>2021</w:t>
            </w:r>
            <w:r>
              <w:rPr>
                <w:rFonts w:hint="eastAsia" w:ascii="仿宋_GB2312"/>
                <w:color w:val="000000"/>
                <w:szCs w:val="32"/>
              </w:rPr>
              <w:t>〕</w:t>
            </w:r>
            <w:r>
              <w:rPr>
                <w:rFonts w:ascii="仿宋_GB2312"/>
                <w:color w:val="000000"/>
                <w:szCs w:val="32"/>
              </w:rPr>
              <w:t>67</w:t>
            </w:r>
            <w:r>
              <w:rPr>
                <w:rFonts w:hint="eastAsia" w:ascii="仿宋_GB2312"/>
                <w:color w:val="000000"/>
                <w:szCs w:val="32"/>
              </w:rPr>
              <w:t>号</w:t>
            </w:r>
          </w:p>
        </w:tc>
      </w:tr>
    </w:tbl>
    <w:p>
      <w:pPr>
        <w:adjustRightInd w:val="0"/>
        <w:snapToGrid w:val="0"/>
        <w:spacing w:line="240" w:lineRule="auto"/>
        <w:ind w:firstLine="0" w:firstLineChars="0"/>
        <w:rPr>
          <w:rFonts w:ascii="仿宋_GB2312"/>
          <w:color w:val="000000"/>
          <w:sz w:val="28"/>
          <w:szCs w:val="28"/>
        </w:rPr>
      </w:pPr>
    </w:p>
    <w:p>
      <w:pPr>
        <w:adjustRightInd w:val="0"/>
        <w:snapToGrid w:val="0"/>
        <w:spacing w:line="240" w:lineRule="auto"/>
        <w:ind w:firstLine="0" w:firstLineChars="0"/>
        <w:rPr>
          <w:rFonts w:ascii="仿宋_GB2312"/>
          <w:color w:val="000000"/>
          <w:sz w:val="28"/>
          <w:szCs w:val="28"/>
        </w:rPr>
      </w:pPr>
    </w:p>
    <w:p>
      <w:pPr>
        <w:ind w:firstLine="0" w:firstLineChars="0"/>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关于印发《嘉兴市秀洲区红十字事业发展</w:t>
      </w:r>
    </w:p>
    <w:p>
      <w:pPr>
        <w:ind w:firstLine="0" w:firstLineChars="0"/>
        <w:contextualSpacing/>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“十四五”规划》的通知</w:t>
      </w:r>
    </w:p>
    <w:p>
      <w:pPr>
        <w:ind w:firstLine="0" w:firstLineChars="0"/>
        <w:contextualSpacing/>
        <w:rPr>
          <w:sz w:val="30"/>
          <w:szCs w:val="30"/>
        </w:rPr>
      </w:pPr>
    </w:p>
    <w:p>
      <w:pPr>
        <w:ind w:firstLine="0" w:firstLineChars="0"/>
        <w:contextualSpacing/>
        <w:rPr>
          <w:rFonts w:ascii="仿宋_GB2312" w:hAnsi="仿宋" w:cs="宋体"/>
          <w:color w:val="000000"/>
          <w:kern w:val="0"/>
          <w:szCs w:val="32"/>
          <w:shd w:val="clear" w:color="auto" w:fill="FFFFFF"/>
        </w:rPr>
      </w:pPr>
      <w:r>
        <w:rPr>
          <w:rFonts w:hint="eastAsia" w:ascii="仿宋_GB2312" w:hAnsi="仿宋" w:cs="宋体"/>
          <w:color w:val="000000"/>
          <w:kern w:val="0"/>
          <w:szCs w:val="32"/>
          <w:shd w:val="clear" w:color="auto" w:fill="FFFFFF"/>
        </w:rPr>
        <w:t>各镇人民政府、街道办事处、秀洲国家高新区管委会、区级有关单位：</w:t>
      </w:r>
      <w:r>
        <w:rPr>
          <w:rFonts w:ascii="仿宋_GB2312" w:hAnsi="仿宋" w:cs="宋体"/>
          <w:color w:val="000000"/>
          <w:kern w:val="0"/>
          <w:szCs w:val="32"/>
          <w:shd w:val="clear" w:color="auto" w:fill="FFFFFF"/>
        </w:rPr>
        <w:t xml:space="preserve"> </w:t>
      </w:r>
    </w:p>
    <w:p>
      <w:pPr>
        <w:pStyle w:val="7"/>
        <w:spacing w:line="560" w:lineRule="exact"/>
        <w:ind w:firstLine="640" w:firstLineChars="200"/>
        <w:contextualSpacing/>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嘉兴市秀洲区红十字事业发展“十四五”规划》是列入《秀洲区“十四五”专项规划编制及实施方案》的专项规划之一，对推进全区红十字事业发展具有重要指导意义，现印发给你们，请结合实际，认真组织实施。</w:t>
      </w:r>
    </w:p>
    <w:p>
      <w:pPr>
        <w:ind w:firstLine="0" w:firstLineChars="0"/>
        <w:contextualSpacing/>
        <w:rPr>
          <w:rFonts w:ascii="仿宋_GB2312" w:hAnsi="仿宋" w:cs="宋体"/>
          <w:color w:val="000000"/>
          <w:kern w:val="0"/>
          <w:szCs w:val="32"/>
          <w:shd w:val="clear" w:color="auto" w:fill="FFFFFF"/>
        </w:rPr>
      </w:pPr>
    </w:p>
    <w:p>
      <w:pPr>
        <w:adjustRightInd w:val="0"/>
        <w:snapToGrid w:val="0"/>
        <w:ind w:firstLine="0" w:firstLineChars="0"/>
        <w:jc w:val="center"/>
        <w:rPr>
          <w:rFonts w:hint="default" w:ascii="仿宋_GB2312"/>
          <w:kern w:val="30"/>
          <w:szCs w:val="32"/>
        </w:rPr>
      </w:pPr>
      <w:r>
        <w:rPr>
          <w:rFonts w:hint="eastAsia" w:ascii="仿宋_GB2312"/>
          <w:kern w:val="30"/>
          <w:szCs w:val="32"/>
        </w:rPr>
        <w:t>嘉兴市秀洲区发展和改革局</w:t>
      </w:r>
      <w:r>
        <w:rPr>
          <w:rFonts w:ascii="仿宋_GB2312"/>
          <w:kern w:val="30"/>
          <w:szCs w:val="32"/>
        </w:rPr>
        <w:t xml:space="preserve">    </w:t>
      </w:r>
      <w:r>
        <w:rPr>
          <w:rFonts w:hint="eastAsia" w:ascii="仿宋_GB2312"/>
          <w:kern w:val="30"/>
          <w:szCs w:val="32"/>
        </w:rPr>
        <w:t>嘉兴市</w:t>
      </w:r>
      <w:r>
        <w:rPr>
          <w:rFonts w:hint="default" w:ascii="仿宋_GB2312"/>
          <w:kern w:val="30"/>
          <w:szCs w:val="32"/>
        </w:rPr>
        <w:t>秀洲区红十字会</w:t>
      </w:r>
    </w:p>
    <w:p>
      <w:pPr>
        <w:widowControl/>
        <w:adjustRightInd w:val="0"/>
        <w:snapToGrid w:val="0"/>
        <w:ind w:firstLine="31680"/>
        <w:rPr>
          <w:rFonts w:ascii="仿宋_GB2312"/>
          <w:kern w:val="30"/>
          <w:szCs w:val="32"/>
        </w:rPr>
        <w:sectPr>
          <w:footerReference r:id="rId3" w:type="default"/>
          <w:pgSz w:w="11910" w:h="16845"/>
          <w:pgMar w:top="2041" w:right="1531" w:bottom="2041" w:left="1531" w:header="1134" w:footer="1588" w:gutter="0"/>
          <w:cols w:space="720" w:num="1"/>
          <w:docGrid w:type="lines" w:linePitch="312" w:charSpace="0"/>
        </w:sectPr>
      </w:pPr>
      <w:r>
        <w:rPr>
          <w:rFonts w:ascii="仿宋_GB2312"/>
          <w:kern w:val="30"/>
          <w:szCs w:val="32"/>
        </w:rPr>
        <w:t xml:space="preserve">                              2021</w:t>
      </w:r>
      <w:r>
        <w:rPr>
          <w:rFonts w:hint="eastAsia" w:ascii="仿宋_GB2312"/>
          <w:kern w:val="30"/>
          <w:szCs w:val="32"/>
        </w:rPr>
        <w:t>年</w:t>
      </w:r>
      <w:r>
        <w:rPr>
          <w:rFonts w:ascii="仿宋_GB2312"/>
          <w:kern w:val="30"/>
          <w:szCs w:val="32"/>
        </w:rPr>
        <w:t>11</w:t>
      </w:r>
      <w:r>
        <w:rPr>
          <w:rFonts w:hint="eastAsia" w:ascii="仿宋_GB2312"/>
          <w:kern w:val="30"/>
          <w:szCs w:val="32"/>
        </w:rPr>
        <w:t>月</w:t>
      </w:r>
      <w:r>
        <w:rPr>
          <w:rFonts w:ascii="仿宋_GB2312"/>
          <w:kern w:val="30"/>
          <w:szCs w:val="32"/>
        </w:rPr>
        <w:t>1</w:t>
      </w:r>
      <w:r>
        <w:rPr>
          <w:rFonts w:hint="eastAsia" w:ascii="仿宋_GB2312"/>
          <w:kern w:val="30"/>
          <w:szCs w:val="32"/>
        </w:rPr>
        <w:t>日</w:t>
      </w:r>
    </w:p>
    <w:p>
      <w:pPr>
        <w:pStyle w:val="3"/>
      </w:pPr>
      <w:r>
        <w:rPr>
          <w:rFonts w:hint="eastAsia"/>
        </w:rPr>
        <w:t>嘉兴市秀洲区红十字事业发展“十四五”规划</w:t>
      </w:r>
    </w:p>
    <w:p>
      <w:pPr>
        <w:pStyle w:val="2"/>
        <w:ind w:firstLine="31680"/>
      </w:pPr>
    </w:p>
    <w:p>
      <w:pPr>
        <w:ind w:firstLine="31680"/>
      </w:pPr>
      <w:r>
        <w:rPr>
          <w:rFonts w:hint="eastAsia"/>
        </w:rPr>
        <w:t>为推动“十四五”时期嘉兴市秀洲区红十字事业高质量发展，依据《中国红十字事业发展“十四五”规划（</w:t>
      </w:r>
      <w:r>
        <w:t>2021-2025</w:t>
      </w:r>
      <w:r>
        <w:rPr>
          <w:rFonts w:hint="eastAsia"/>
        </w:rPr>
        <w:t>年）》、《嘉兴市秀洲区国民经济和社会发展第十四个五年规划和二〇三五年远景目标纲要》，结合我区实际，制定本规划。</w:t>
      </w:r>
    </w:p>
    <w:p>
      <w:pPr>
        <w:pStyle w:val="4"/>
        <w:ind w:firstLine="31680"/>
      </w:pPr>
      <w:r>
        <w:rPr>
          <w:rFonts w:hint="eastAsia"/>
        </w:rPr>
        <w:t>一、规划背景</w:t>
      </w:r>
    </w:p>
    <w:p>
      <w:pPr>
        <w:ind w:firstLine="31680"/>
      </w:pPr>
      <w:r>
        <w:rPr>
          <w:rFonts w:hint="eastAsia"/>
        </w:rPr>
        <w:t>“十三五”以来，秀洲区通过补短板、强弱项，努力推动红十字事业高质量发展，充分发挥党和政府在人道领域的助手和联系群众的桥梁和纽带作用，为全区社会事业高质量发展提供了有力支撑。</w:t>
      </w:r>
    </w:p>
    <w:p>
      <w:pPr>
        <w:pStyle w:val="5"/>
        <w:ind w:firstLine="31680"/>
        <w:rPr>
          <w:rFonts w:eastAsia="仿宋_GB2312"/>
          <w:szCs w:val="24"/>
        </w:rPr>
      </w:pPr>
      <w:r>
        <w:rPr>
          <w:rFonts w:hint="eastAsia" w:ascii="楷体_GB2312" w:hAnsi="楷体_GB2312" w:cs="楷体_GB2312"/>
          <w:sz w:val="32"/>
          <w:szCs w:val="24"/>
        </w:rPr>
        <w:t>（一）不断健全组织体系。</w:t>
      </w:r>
      <w:r>
        <w:rPr>
          <w:rFonts w:hint="eastAsia" w:eastAsia="仿宋_GB2312"/>
          <w:sz w:val="32"/>
          <w:szCs w:val="24"/>
        </w:rPr>
        <w:t>出台《关于加快发展红十字事业的实施意见》，成立秀洲区红十字会党组，</w:t>
      </w:r>
      <w:r>
        <w:rPr>
          <w:rFonts w:hint="eastAsia"/>
          <w:sz w:val="32"/>
          <w:szCs w:val="24"/>
        </w:rPr>
        <w:t>入选</w:t>
      </w:r>
      <w:r>
        <w:rPr>
          <w:rFonts w:hint="eastAsia" w:eastAsia="仿宋_GB2312"/>
          <w:sz w:val="32"/>
          <w:szCs w:val="24"/>
        </w:rPr>
        <w:t>省级基层组建设、会员管理工作试点单位</w:t>
      </w:r>
      <w:r>
        <w:rPr>
          <w:rFonts w:hint="eastAsia"/>
          <w:sz w:val="32"/>
          <w:szCs w:val="24"/>
        </w:rPr>
        <w:t>，</w:t>
      </w:r>
      <w:r>
        <w:rPr>
          <w:rFonts w:hint="eastAsia" w:eastAsia="仿宋_GB2312"/>
          <w:sz w:val="32"/>
          <w:szCs w:val="24"/>
        </w:rPr>
        <w:t>建立红十字基层组织</w:t>
      </w:r>
      <w:r>
        <w:rPr>
          <w:rFonts w:eastAsia="仿宋_GB2312"/>
          <w:sz w:val="32"/>
          <w:szCs w:val="24"/>
        </w:rPr>
        <w:t>179</w:t>
      </w:r>
      <w:r>
        <w:rPr>
          <w:rFonts w:hint="eastAsia" w:eastAsia="仿宋_GB2312"/>
          <w:sz w:val="32"/>
          <w:szCs w:val="24"/>
        </w:rPr>
        <w:t>个</w:t>
      </w:r>
      <w:r>
        <w:rPr>
          <w:rFonts w:hint="eastAsia"/>
          <w:sz w:val="32"/>
          <w:szCs w:val="24"/>
        </w:rPr>
        <w:t>。</w:t>
      </w:r>
      <w:r>
        <w:rPr>
          <w:rFonts w:hint="eastAsia" w:eastAsia="仿宋_GB2312"/>
          <w:sz w:val="32"/>
          <w:szCs w:val="24"/>
        </w:rPr>
        <w:t>全区镇（街道）、村（社区）、学校和医疗卫生机构的建会率达到</w:t>
      </w:r>
      <w:r>
        <w:rPr>
          <w:rFonts w:eastAsia="仿宋_GB2312"/>
          <w:sz w:val="32"/>
          <w:szCs w:val="24"/>
        </w:rPr>
        <w:t>100%</w:t>
      </w:r>
      <w:r>
        <w:rPr>
          <w:rFonts w:hint="eastAsia" w:eastAsia="仿宋_GB2312"/>
          <w:sz w:val="32"/>
          <w:szCs w:val="24"/>
        </w:rPr>
        <w:t>，实现了基层组织全覆盖。积极规范发展红十字会员，现有红十字会员</w:t>
      </w:r>
      <w:r>
        <w:rPr>
          <w:rFonts w:eastAsia="仿宋_GB2312"/>
          <w:sz w:val="32"/>
          <w:szCs w:val="24"/>
        </w:rPr>
        <w:t>10236</w:t>
      </w:r>
      <w:r>
        <w:rPr>
          <w:rFonts w:hint="eastAsia" w:eastAsia="仿宋_GB2312"/>
          <w:sz w:val="32"/>
          <w:szCs w:val="24"/>
        </w:rPr>
        <w:t>人，团体会员单位</w:t>
      </w:r>
      <w:r>
        <w:rPr>
          <w:rFonts w:eastAsia="仿宋_GB2312"/>
          <w:sz w:val="32"/>
          <w:szCs w:val="24"/>
        </w:rPr>
        <w:t>8</w:t>
      </w:r>
      <w:r>
        <w:rPr>
          <w:rFonts w:hint="eastAsia" w:eastAsia="仿宋_GB2312"/>
          <w:sz w:val="32"/>
          <w:szCs w:val="24"/>
        </w:rPr>
        <w:t>家。</w:t>
      </w:r>
    </w:p>
    <w:p>
      <w:pPr>
        <w:ind w:firstLine="31680"/>
      </w:pPr>
      <w:r>
        <w:rPr>
          <w:rFonts w:hint="eastAsia" w:ascii="楷体_GB2312" w:hAnsi="楷体_GB2312" w:eastAsia="楷体_GB2312" w:cs="楷体_GB2312"/>
        </w:rPr>
        <w:t>（二）着力加强应急救护培训。</w:t>
      </w:r>
      <w:r>
        <w:rPr>
          <w:rFonts w:hint="eastAsia"/>
        </w:rPr>
        <w:t>开展“社区</w:t>
      </w:r>
      <w:r>
        <w:t>+</w:t>
      </w:r>
      <w:r>
        <w:rPr>
          <w:rFonts w:hint="eastAsia"/>
        </w:rPr>
        <w:t>学校</w:t>
      </w:r>
      <w:r>
        <w:t>+</w:t>
      </w:r>
      <w:r>
        <w:rPr>
          <w:rFonts w:hint="eastAsia"/>
        </w:rPr>
        <w:t>企业”生命健康安全教育活动，提升急救护知识普及率。截止</w:t>
      </w:r>
      <w:r>
        <w:t>2020</w:t>
      </w:r>
      <w:r>
        <w:rPr>
          <w:rFonts w:hint="eastAsia"/>
        </w:rPr>
        <w:t>年底，全区有</w:t>
      </w:r>
      <w:r>
        <w:t>2242</w:t>
      </w:r>
      <w:r>
        <w:rPr>
          <w:rFonts w:hint="eastAsia"/>
        </w:rPr>
        <w:t>人通过考核取得红十字救护员证，普及性培训</w:t>
      </w:r>
      <w:r>
        <w:t>22244</w:t>
      </w:r>
      <w:r>
        <w:rPr>
          <w:rFonts w:hint="eastAsia"/>
        </w:rPr>
        <w:t>人次，应急救护知识普及率达</w:t>
      </w:r>
      <w:r>
        <w:t>4.3%</w:t>
      </w:r>
      <w:r>
        <w:rPr>
          <w:rFonts w:hint="eastAsia"/>
        </w:rPr>
        <w:t>，较</w:t>
      </w:r>
      <w:r>
        <w:t>2015</w:t>
      </w:r>
      <w:r>
        <w:rPr>
          <w:rFonts w:hint="eastAsia"/>
        </w:rPr>
        <w:t>年增长</w:t>
      </w:r>
      <w:r>
        <w:t>3.2%</w:t>
      </w:r>
      <w:r>
        <w:rPr>
          <w:rFonts w:hint="eastAsia"/>
        </w:rPr>
        <w:t>。累计培训救护员</w:t>
      </w:r>
      <w:r>
        <w:t>8524</w:t>
      </w:r>
      <w:r>
        <w:rPr>
          <w:rFonts w:hint="eastAsia"/>
        </w:rPr>
        <w:t>人次，占户籍人口的</w:t>
      </w:r>
      <w:r>
        <w:t>2%</w:t>
      </w:r>
      <w:r>
        <w:rPr>
          <w:rFonts w:hint="eastAsia"/>
        </w:rPr>
        <w:t>，应急救护知识普及</w:t>
      </w:r>
      <w:r>
        <w:t>81704</w:t>
      </w:r>
      <w:r>
        <w:rPr>
          <w:rFonts w:hint="eastAsia"/>
        </w:rPr>
        <w:t>人次，占户籍人口</w:t>
      </w:r>
      <w:r>
        <w:t>19.8%</w:t>
      </w:r>
      <w:r>
        <w:rPr>
          <w:rFonts w:hint="eastAsia"/>
        </w:rPr>
        <w:t>。拓展急救工作的广度和深度，在美丽乡村、旅游景区等公共场所安置</w:t>
      </w:r>
      <w:r>
        <w:t>5</w:t>
      </w:r>
      <w:r>
        <w:rPr>
          <w:rFonts w:hint="eastAsia"/>
        </w:rPr>
        <w:t>台</w:t>
      </w:r>
      <w:r>
        <w:t>AED</w:t>
      </w:r>
      <w:r>
        <w:rPr>
          <w:rFonts w:hint="eastAsia"/>
        </w:rPr>
        <w:t>。</w:t>
      </w:r>
    </w:p>
    <w:p>
      <w:pPr>
        <w:ind w:firstLine="31680"/>
      </w:pPr>
      <w:r>
        <w:rPr>
          <w:rFonts w:hint="eastAsia" w:ascii="楷体_GB2312" w:hAnsi="楷体_GB2312" w:eastAsia="楷体_GB2312" w:cs="楷体_GB2312"/>
        </w:rPr>
        <w:t>（三）不断提升红十字会人道救助水平。</w:t>
      </w:r>
      <w:r>
        <w:rPr>
          <w:rFonts w:hint="eastAsia"/>
        </w:rPr>
        <w:t>累计募集捐赠款物</w:t>
      </w:r>
      <w:r>
        <w:t>926.71</w:t>
      </w:r>
      <w:r>
        <w:rPr>
          <w:rFonts w:hint="eastAsia"/>
        </w:rPr>
        <w:t>万元，使用</w:t>
      </w:r>
      <w:r>
        <w:t>824.07</w:t>
      </w:r>
      <w:r>
        <w:rPr>
          <w:rFonts w:hint="eastAsia"/>
        </w:rPr>
        <w:t>万元。开展“爱心病房”项目，累计为</w:t>
      </w:r>
      <w:r>
        <w:t>706</w:t>
      </w:r>
      <w:r>
        <w:rPr>
          <w:rFonts w:hint="eastAsia"/>
        </w:rPr>
        <w:t>名符合条件的低保、低收入对象送上</w:t>
      </w:r>
      <w:r>
        <w:t>63.15</w:t>
      </w:r>
      <w:r>
        <w:rPr>
          <w:rFonts w:hint="eastAsia"/>
        </w:rPr>
        <w:t>万元补助金；开展“爱心超市”项目，累计兑换爱心券</w:t>
      </w:r>
      <w:r>
        <w:t>11197</w:t>
      </w:r>
      <w:r>
        <w:rPr>
          <w:rFonts w:hint="eastAsia"/>
        </w:rPr>
        <w:t>张，共计</w:t>
      </w:r>
      <w:r>
        <w:t>22.35</w:t>
      </w:r>
      <w:r>
        <w:rPr>
          <w:rFonts w:hint="eastAsia"/>
        </w:rPr>
        <w:t>万元。结合端午节、中秋节、重阳节等节日陆续开展了</w:t>
      </w:r>
      <w:r>
        <w:t>35</w:t>
      </w:r>
      <w:r>
        <w:rPr>
          <w:rFonts w:hint="eastAsia"/>
        </w:rPr>
        <w:t>场为老服务志愿活动、</w:t>
      </w:r>
      <w:r>
        <w:t>28</w:t>
      </w:r>
      <w:r>
        <w:rPr>
          <w:rFonts w:hint="eastAsia"/>
        </w:rPr>
        <w:t>场关爱失独第三代活动。发动爱心企业开展“爱心送暖，衣路有你”捐款活动，向若尔盖县</w:t>
      </w:r>
      <w:r>
        <w:t>300</w:t>
      </w:r>
      <w:r>
        <w:rPr>
          <w:rFonts w:hint="eastAsia"/>
        </w:rPr>
        <w:t>户特殊困难家庭捐赠</w:t>
      </w:r>
      <w:r>
        <w:t>300</w:t>
      </w:r>
      <w:r>
        <w:rPr>
          <w:rFonts w:hint="eastAsia"/>
        </w:rPr>
        <w:t>件羽绒服。</w:t>
      </w:r>
    </w:p>
    <w:p>
      <w:pPr>
        <w:ind w:firstLine="31680"/>
      </w:pPr>
      <w:r>
        <w:rPr>
          <w:rFonts w:hint="eastAsia" w:ascii="楷体_GB2312" w:hAnsi="楷体_GB2312" w:eastAsia="楷体_GB2312" w:cs="楷体_GB2312"/>
        </w:rPr>
        <w:t>（四）大力实施红十字关爱生命行动。</w:t>
      </w:r>
      <w:r>
        <w:rPr>
          <w:rFonts w:hint="eastAsia"/>
        </w:rPr>
        <w:t>开展“三献”知识讲座，建立工作联动机制。在高照街道运河社区设立人体器官（遗体、组织）捐献宣传登记点。“十三五”期间，造血干细胞捐献者有效库容达到</w:t>
      </w:r>
      <w:r>
        <w:t>425</w:t>
      </w:r>
      <w:r>
        <w:rPr>
          <w:rFonts w:hint="eastAsia"/>
        </w:rPr>
        <w:t>人份，实现捐献</w:t>
      </w:r>
      <w:r>
        <w:t>4</w:t>
      </w:r>
      <w:r>
        <w:rPr>
          <w:rFonts w:hint="eastAsia"/>
        </w:rPr>
        <w:t>例；</w:t>
      </w:r>
      <w:r>
        <w:t>45</w:t>
      </w:r>
      <w:r>
        <w:rPr>
          <w:rFonts w:hint="eastAsia"/>
        </w:rPr>
        <w:t>名志愿者登记遗体、器官捐献，成功实现捐献</w:t>
      </w:r>
      <w:r>
        <w:t>6</w:t>
      </w:r>
      <w:r>
        <w:rPr>
          <w:rFonts w:hint="eastAsia"/>
        </w:rPr>
        <w:t>人。</w:t>
      </w:r>
    </w:p>
    <w:p>
      <w:pPr>
        <w:ind w:firstLine="31680"/>
      </w:pPr>
      <w:r>
        <w:rPr>
          <w:rFonts w:hint="eastAsia" w:ascii="楷体_GB2312" w:hAnsi="楷体_GB2312" w:eastAsia="楷体_GB2312" w:cs="楷体_GB2312"/>
        </w:rPr>
        <w:t>（五）深入开展红十字青少年行动。</w:t>
      </w:r>
      <w:r>
        <w:rPr>
          <w:rFonts w:hint="eastAsia"/>
        </w:rPr>
        <w:t>连续四年开展“三十佳红十字青少年”评选活动，连续五年组织开展“红十字青少年夏令营”活动，开展嘉兴市中心血站、秀洲区红十字生命教育体验馆教育实践活动。对全区</w:t>
      </w:r>
      <w:r>
        <w:t>11</w:t>
      </w:r>
      <w:r>
        <w:rPr>
          <w:rFonts w:hint="eastAsia"/>
        </w:rPr>
        <w:t>所中小学的</w:t>
      </w:r>
      <w:r>
        <w:t>593</w:t>
      </w:r>
      <w:r>
        <w:rPr>
          <w:rFonts w:hint="eastAsia"/>
        </w:rPr>
        <w:t>名教师进行应急救护培训。大力推进</w:t>
      </w:r>
      <w:r>
        <w:fldChar w:fldCharType="begin"/>
      </w:r>
      <w:r>
        <w:instrText xml:space="preserve"> HYPERLINK "http://www.baidu.com/link?url=3wrMlfyMFFPSctzdFeXQl14XbJ2--Yzai3z8rLhHFEU7fomsheFIODCZbYIzJeaRV0OVrEnQfotmq31ye0BSArnmdGb1mk9ejQDY5HY8dKRi-A2To_UCWqvBuEBI47poTWh-t8YfeR_Prt6Xz387CtkzgQFWH3y_xFrPofOJN-m" \t "https://www.baidu.com/_blank" </w:instrText>
      </w:r>
      <w:r>
        <w:fldChar w:fldCharType="separate"/>
      </w:r>
      <w:r>
        <w:rPr>
          <w:rFonts w:hint="eastAsia"/>
        </w:rPr>
        <w:t>浙师大秀洲实验学校</w:t>
      </w:r>
      <w:r>
        <w:rPr>
          <w:rFonts w:hint="eastAsia"/>
        </w:rPr>
        <w:fldChar w:fldCharType="end"/>
      </w:r>
      <w:r>
        <w:rPr>
          <w:rFonts w:hint="eastAsia"/>
        </w:rPr>
        <w:t>的“红十字特色学校”建设工作，积极打造学校红十字文化传播基地、人道主义教育基地、生命健康安全体验基地。</w:t>
      </w:r>
    </w:p>
    <w:p>
      <w:pPr>
        <w:pStyle w:val="4"/>
        <w:ind w:firstLine="31680"/>
      </w:pPr>
      <w:r>
        <w:rPr>
          <w:rFonts w:hint="eastAsia"/>
        </w:rPr>
        <w:t>二、指导思想</w:t>
      </w:r>
    </w:p>
    <w:p>
      <w:pPr>
        <w:ind w:firstLine="31680"/>
      </w:pPr>
      <w:r>
        <w:rPr>
          <w:rFonts w:hint="eastAsia"/>
        </w:rPr>
        <w:t>以习近平新时代中国特色社会主义思想为指导，深入贯彻党的十九大和十九届二中、三中、四中、五中全会精神，坚持党的全面领导，坚持以人民为中心，立足新发展阶段，贯彻新发展理念，构建新发展格局，以为国奉献、为民造福为主题，以全面深化改革、推动高质量发展为主线，以满足人民日益增长的美好生活需要为根本目的，健全体制机制，增强能力实力，提升服务质效，实现高效运转、公开透明，努力建设更具凝聚力、影响力和公信力的红十字组织，奋力打造新时代全面展示中国特色社会主义制度优越性重要窗口最精彩板块中的“秀美新区”、均衡富庶发展的最佳典范中的“最精彩红十字单元”。</w:t>
      </w:r>
    </w:p>
    <w:p>
      <w:pPr>
        <w:pStyle w:val="4"/>
        <w:ind w:firstLine="31680"/>
        <w:rPr>
          <w:highlight w:val="yellow"/>
        </w:rPr>
      </w:pPr>
      <w:r>
        <w:rPr>
          <w:rFonts w:hint="eastAsia"/>
        </w:rPr>
        <w:t>三、基本原则</w:t>
      </w:r>
    </w:p>
    <w:p>
      <w:pPr>
        <w:ind w:firstLine="31680"/>
      </w:pPr>
      <w:r>
        <w:rPr>
          <w:b/>
          <w:bCs/>
        </w:rPr>
        <w:t>——</w:t>
      </w:r>
      <w:r>
        <w:rPr>
          <w:rFonts w:hint="eastAsia"/>
          <w:b/>
          <w:bCs/>
        </w:rPr>
        <w:t>坚持党对红十字事业的全面领导。</w:t>
      </w:r>
      <w:r>
        <w:rPr>
          <w:rFonts w:hint="eastAsia"/>
        </w:rPr>
        <w:t>坚持党的领导，把政治建设放在首位，增强“四个意识”</w:t>
      </w:r>
      <w:r>
        <w:rPr>
          <w:rFonts w:hint="eastAsia"/>
          <w:lang w:eastAsia="zh-CN"/>
        </w:rPr>
        <w:t>、</w:t>
      </w:r>
      <w:r>
        <w:rPr>
          <w:rFonts w:hint="eastAsia"/>
        </w:rPr>
        <w:t>坚定“四个自信”</w:t>
      </w:r>
      <w:r>
        <w:rPr>
          <w:rFonts w:hint="eastAsia"/>
          <w:lang w:eastAsia="zh-CN"/>
        </w:rPr>
        <w:t>、</w:t>
      </w:r>
      <w:bookmarkStart w:id="0" w:name="_GoBack"/>
      <w:bookmarkEnd w:id="0"/>
      <w:r>
        <w:rPr>
          <w:rFonts w:hint="eastAsia"/>
        </w:rPr>
        <w:t>做到“两个维护”，认真履行政治责任，保持和增强政治性、先进性、群众性。</w:t>
      </w:r>
    </w:p>
    <w:p>
      <w:pPr>
        <w:ind w:firstLine="31680"/>
      </w:pPr>
      <w:r>
        <w:rPr>
          <w:b/>
          <w:bCs/>
        </w:rPr>
        <w:t>——</w:t>
      </w:r>
      <w:r>
        <w:rPr>
          <w:rFonts w:hint="eastAsia"/>
          <w:b/>
          <w:bCs/>
        </w:rPr>
        <w:t>坚持以人民为中心的发展思想。</w:t>
      </w:r>
      <w:r>
        <w:rPr>
          <w:rFonts w:hint="eastAsia"/>
        </w:rPr>
        <w:t>牢固树立“人民至上，生命至上”理念，以保护人的生命和健康为宗旨，始终依靠群众、服务群众，把真心关爱群众、满足人民群众的人道需求作为一切工作的出发点和落脚点。</w:t>
      </w:r>
    </w:p>
    <w:p>
      <w:pPr>
        <w:ind w:firstLine="31680"/>
      </w:pPr>
      <w:r>
        <w:rPr>
          <w:b/>
          <w:bCs/>
        </w:rPr>
        <w:t>——</w:t>
      </w:r>
      <w:r>
        <w:rPr>
          <w:rFonts w:hint="eastAsia"/>
          <w:b/>
          <w:bCs/>
        </w:rPr>
        <w:t>坚持依法治会、从严治会。</w:t>
      </w:r>
      <w:r>
        <w:rPr>
          <w:rFonts w:hint="eastAsia"/>
        </w:rPr>
        <w:t>牢固树立法治理念，依法履职尽责。严格遵守法律法规，健全制度体系，强化制度执行，加强监督检查，提升治理能力，提高工作的法治化、制度化、规范化水平。</w:t>
      </w:r>
    </w:p>
    <w:p>
      <w:pPr>
        <w:ind w:firstLine="31680"/>
      </w:pPr>
      <w:r>
        <w:rPr>
          <w:b/>
          <w:bCs/>
        </w:rPr>
        <w:t>——</w:t>
      </w:r>
      <w:r>
        <w:rPr>
          <w:rFonts w:hint="eastAsia"/>
          <w:b/>
          <w:bCs/>
        </w:rPr>
        <w:t>坚持深化改革、锐意创新。</w:t>
      </w:r>
      <w:r>
        <w:rPr>
          <w:rFonts w:hint="eastAsia"/>
        </w:rPr>
        <w:t>把新发展理念贯穿红十字事业发展全过程各方面，着力推进理论创新、实践创新和制度创新，着力解决体制机制问题，不断增强红十字事业发展的生机活力，推动新时代秀洲特色红十字事业高质量发展。</w:t>
      </w:r>
    </w:p>
    <w:p>
      <w:pPr>
        <w:pStyle w:val="4"/>
        <w:ind w:firstLine="31680"/>
      </w:pPr>
      <w:r>
        <w:rPr>
          <w:rFonts w:hint="eastAsia"/>
        </w:rPr>
        <w:t>四、发展目标</w:t>
      </w:r>
    </w:p>
    <w:p>
      <w:pPr>
        <w:ind w:firstLine="31680"/>
      </w:pPr>
      <w:r>
        <w:rPr>
          <w:rFonts w:hint="eastAsia"/>
        </w:rPr>
        <w:t>到</w:t>
      </w:r>
      <w:r>
        <w:t>2025</w:t>
      </w:r>
      <w:r>
        <w:rPr>
          <w:rFonts w:hint="eastAsia"/>
        </w:rPr>
        <w:t>年，把秀洲红十字会建设成为组织体系健全、运行机制科学，专业能力突出，更具凝聚力、影响力和公信力的红十字组织。</w:t>
      </w:r>
    </w:p>
    <w:p>
      <w:pPr>
        <w:pStyle w:val="2"/>
        <w:ind w:firstLine="31680"/>
      </w:pPr>
      <w:r>
        <w:rPr>
          <w:b/>
          <w:bCs/>
        </w:rPr>
        <w:t>——</w:t>
      </w:r>
      <w:r>
        <w:rPr>
          <w:rFonts w:hint="eastAsia"/>
          <w:b/>
          <w:bCs/>
        </w:rPr>
        <w:t>应急救护能力显著增强。</w:t>
      </w:r>
      <w:r>
        <w:rPr>
          <w:rFonts w:hint="eastAsia"/>
        </w:rPr>
        <w:t>到</w:t>
      </w:r>
      <w:r>
        <w:t>2025</w:t>
      </w:r>
      <w:r>
        <w:rPr>
          <w:rFonts w:hint="eastAsia"/>
        </w:rPr>
        <w:t>年，取得应急救护培训证书人员较</w:t>
      </w:r>
      <w:r>
        <w:t>2020</w:t>
      </w:r>
      <w:r>
        <w:rPr>
          <w:rFonts w:hint="eastAsia"/>
        </w:rPr>
        <w:t>年末增加</w:t>
      </w:r>
      <w:r>
        <w:t>5000</w:t>
      </w:r>
      <w:r>
        <w:rPr>
          <w:rFonts w:hint="eastAsia"/>
        </w:rPr>
        <w:t>人，全区取得应急救护培训证书人数占总人口比例不少于</w:t>
      </w:r>
      <w:r>
        <w:t>2%</w:t>
      </w:r>
      <w:r>
        <w:rPr>
          <w:rFonts w:hint="eastAsia"/>
        </w:rPr>
        <w:t>，接受救护员培训的中小学教职人员师生比例不少于</w:t>
      </w:r>
      <w:r>
        <w:t>1</w:t>
      </w:r>
      <w:r>
        <w:rPr>
          <w:rFonts w:hint="eastAsia"/>
        </w:rPr>
        <w:t>∶</w:t>
      </w:r>
      <w:r>
        <w:t>50</w:t>
      </w:r>
      <w:r>
        <w:rPr>
          <w:rFonts w:hint="eastAsia"/>
        </w:rPr>
        <w:t>，应急救护培训示范基地增加</w:t>
      </w:r>
      <w:r>
        <w:t>1</w:t>
      </w:r>
      <w:r>
        <w:rPr>
          <w:rFonts w:hint="eastAsia"/>
        </w:rPr>
        <w:t>个，应急救护服务阵地巩固扩大，应急救护师资、救护员队伍不断壮大，学校、车站等公共场所现场应急救护能力显著增强。人群密集场所自动体外除颤器（</w:t>
      </w:r>
      <w:r>
        <w:t>AED</w:t>
      </w:r>
      <w:r>
        <w:rPr>
          <w:rFonts w:hint="eastAsia"/>
        </w:rPr>
        <w:t>）力争达到</w:t>
      </w:r>
      <w:r>
        <w:t>40</w:t>
      </w:r>
      <w:r>
        <w:rPr>
          <w:rFonts w:hint="eastAsia"/>
        </w:rPr>
        <w:t>台以上。</w:t>
      </w:r>
    </w:p>
    <w:p>
      <w:pPr>
        <w:pStyle w:val="2"/>
        <w:ind w:firstLine="31680"/>
      </w:pPr>
      <w:r>
        <w:rPr>
          <w:b/>
          <w:bCs/>
        </w:rPr>
        <w:t>——</w:t>
      </w:r>
      <w:r>
        <w:rPr>
          <w:rFonts w:hint="eastAsia"/>
          <w:b/>
          <w:bCs/>
        </w:rPr>
        <w:t>应急救援能力和水平显著提升。</w:t>
      </w:r>
      <w:r>
        <w:rPr>
          <w:rFonts w:hint="eastAsia"/>
        </w:rPr>
        <w:t>建成</w:t>
      </w:r>
      <w:r>
        <w:t>1</w:t>
      </w:r>
      <w:r>
        <w:rPr>
          <w:rFonts w:hint="eastAsia"/>
        </w:rPr>
        <w:t>支区级综合性应急救援队和</w:t>
      </w:r>
      <w:r>
        <w:t>2</w:t>
      </w:r>
      <w:r>
        <w:rPr>
          <w:rFonts w:hint="eastAsia"/>
        </w:rPr>
        <w:t>支以上镇级应急救援小分队，</w:t>
      </w:r>
      <w:r>
        <w:rPr>
          <w:rFonts w:hint="eastAsia" w:ascii="仿宋_GB2312" w:hAnsi="仿宋"/>
          <w:szCs w:val="32"/>
        </w:rPr>
        <w:t>各镇（街道）新增基层备灾救灾点</w:t>
      </w:r>
      <w:r>
        <w:rPr>
          <w:rFonts w:ascii="仿宋_GB2312" w:hAnsi="仿宋"/>
          <w:szCs w:val="32"/>
        </w:rPr>
        <w:t>10</w:t>
      </w:r>
      <w:r>
        <w:rPr>
          <w:rFonts w:hint="eastAsia" w:ascii="仿宋_GB2312" w:hAnsi="仿宋"/>
          <w:szCs w:val="32"/>
        </w:rPr>
        <w:t>个以上，新增红十字应急救护志愿服务站（点）</w:t>
      </w:r>
      <w:r>
        <w:rPr>
          <w:rFonts w:ascii="仿宋_GB2312" w:hAnsi="仿宋"/>
          <w:szCs w:val="32"/>
        </w:rPr>
        <w:t>10</w:t>
      </w:r>
      <w:r>
        <w:rPr>
          <w:rFonts w:hint="eastAsia" w:ascii="仿宋_GB2312" w:hAnsi="仿宋"/>
          <w:szCs w:val="32"/>
        </w:rPr>
        <w:t>个以上，协助政府参与应急救助服务。推动“美丽乡村”景区应急救护站建设，基本实现</w:t>
      </w:r>
      <w:r>
        <w:rPr>
          <w:rFonts w:ascii="仿宋_GB2312" w:hAnsi="仿宋"/>
          <w:szCs w:val="32"/>
        </w:rPr>
        <w:t>5A</w:t>
      </w:r>
      <w:r>
        <w:rPr>
          <w:rFonts w:hint="eastAsia" w:ascii="仿宋_GB2312" w:hAnsi="仿宋"/>
          <w:szCs w:val="32"/>
        </w:rPr>
        <w:t>级景区全覆盖。</w:t>
      </w:r>
    </w:p>
    <w:p>
      <w:pPr>
        <w:pStyle w:val="2"/>
        <w:ind w:firstLine="31680"/>
      </w:pPr>
      <w:r>
        <w:rPr>
          <w:b/>
          <w:bCs/>
        </w:rPr>
        <w:t>——</w:t>
      </w:r>
      <w:r>
        <w:rPr>
          <w:rFonts w:hint="eastAsia"/>
          <w:b/>
          <w:bCs/>
        </w:rPr>
        <w:t>人道救助实力不断提升。</w:t>
      </w:r>
      <w:r>
        <w:rPr>
          <w:rFonts w:hint="eastAsia"/>
        </w:rPr>
        <w:t>聚焦关爱生命与健康，扩大救助规模，募集款物总额价值人民币</w:t>
      </w:r>
      <w:r>
        <w:t>500</w:t>
      </w:r>
      <w:r>
        <w:rPr>
          <w:rFonts w:hint="eastAsia"/>
        </w:rPr>
        <w:t>万元以上。造血干细胞捐献者资料库库容力争达到</w:t>
      </w:r>
      <w:r>
        <w:t>300</w:t>
      </w:r>
      <w:r>
        <w:rPr>
          <w:rFonts w:hint="eastAsia"/>
        </w:rPr>
        <w:t>人份。</w:t>
      </w:r>
    </w:p>
    <w:p>
      <w:pPr>
        <w:ind w:firstLine="578" w:firstLineChars="180"/>
      </w:pPr>
      <w:r>
        <w:rPr>
          <w:b/>
          <w:bCs/>
        </w:rPr>
        <w:t>——</w:t>
      </w:r>
      <w:r>
        <w:rPr>
          <w:rFonts w:hint="eastAsia"/>
          <w:b/>
          <w:bCs/>
        </w:rPr>
        <w:t>组织体系更加健全。</w:t>
      </w:r>
      <w:r>
        <w:rPr>
          <w:rFonts w:hint="eastAsia"/>
        </w:rPr>
        <w:t>大力加强企事业单位红十字会基层组织建设，推进基层组织、阵地、工作有效覆盖。</w:t>
      </w:r>
      <w:r>
        <w:rPr>
          <w:rFonts w:hint="eastAsia" w:ascii="仿宋_GB2312" w:hAnsi="Calibri" w:cs="仿宋_GB2312"/>
          <w:bCs/>
          <w:spacing w:val="-6"/>
          <w:szCs w:val="32"/>
        </w:rPr>
        <w:t>全区各镇（街道）新建</w:t>
      </w:r>
      <w:r>
        <w:rPr>
          <w:rFonts w:ascii="仿宋_GB2312" w:hAnsi="Calibri" w:cs="仿宋_GB2312"/>
          <w:bCs/>
          <w:spacing w:val="-6"/>
          <w:szCs w:val="32"/>
        </w:rPr>
        <w:t>10</w:t>
      </w:r>
      <w:r>
        <w:rPr>
          <w:rFonts w:hint="eastAsia" w:ascii="仿宋_GB2312" w:hAnsi="Calibri" w:cs="仿宋_GB2312"/>
          <w:bCs/>
          <w:spacing w:val="-6"/>
          <w:szCs w:val="32"/>
        </w:rPr>
        <w:t>个以上符合“</w:t>
      </w:r>
      <w:r>
        <w:rPr>
          <w:rFonts w:ascii="仿宋_GB2312" w:hAnsi="Calibri" w:cs="仿宋_GB2312"/>
          <w:bCs/>
          <w:spacing w:val="-6"/>
          <w:szCs w:val="32"/>
        </w:rPr>
        <w:t>4</w:t>
      </w:r>
      <w:r>
        <w:rPr>
          <w:rFonts w:hint="eastAsia" w:ascii="仿宋_GB2312" w:hAnsi="Calibri" w:cs="仿宋_GB2312"/>
          <w:bCs/>
          <w:spacing w:val="-6"/>
          <w:szCs w:val="32"/>
        </w:rPr>
        <w:t>＋</w:t>
      </w:r>
      <w:r>
        <w:rPr>
          <w:rFonts w:ascii="仿宋_GB2312" w:hAnsi="Calibri" w:cs="仿宋_GB2312"/>
          <w:bCs/>
          <w:spacing w:val="-6"/>
          <w:szCs w:val="32"/>
        </w:rPr>
        <w:t>X</w:t>
      </w:r>
      <w:r>
        <w:rPr>
          <w:rFonts w:hint="eastAsia" w:ascii="仿宋_GB2312" w:hAnsi="Calibri" w:cs="仿宋_GB2312"/>
          <w:bCs/>
          <w:spacing w:val="-6"/>
          <w:szCs w:val="32"/>
        </w:rPr>
        <w:t>”标准的“博爱家园”，</w:t>
      </w:r>
      <w:r>
        <w:rPr>
          <w:rFonts w:ascii="仿宋_GB2312" w:hAnsi="Calibri" w:cs="仿宋_GB2312"/>
          <w:bCs/>
          <w:spacing w:val="-6"/>
          <w:szCs w:val="32"/>
        </w:rPr>
        <w:t>1</w:t>
      </w:r>
      <w:r>
        <w:rPr>
          <w:rFonts w:hint="eastAsia" w:ascii="仿宋_GB2312" w:hAnsi="Calibri" w:cs="仿宋_GB2312"/>
          <w:bCs/>
          <w:spacing w:val="-6"/>
          <w:szCs w:val="32"/>
        </w:rPr>
        <w:t>个以上示范性“博爱家园”。</w:t>
      </w:r>
      <w:r>
        <w:rPr>
          <w:rFonts w:hint="eastAsia" w:ascii="仿宋_GB2312" w:hAnsi="宋体" w:cs="仿宋_GB2312"/>
          <w:color w:val="000000"/>
          <w:kern w:val="0"/>
          <w:szCs w:val="32"/>
        </w:rPr>
        <w:t>提升会员管理和服务规范化建设水平，依法收缴成人会员会费，发挥会员作用。</w:t>
      </w:r>
      <w:r>
        <w:rPr>
          <w:rFonts w:hint="eastAsia" w:ascii="仿宋_GB2312" w:hAnsi="Calibri" w:cs="仿宋_GB2312"/>
          <w:bCs/>
          <w:spacing w:val="-6"/>
          <w:szCs w:val="32"/>
        </w:rPr>
        <w:t>成人会员占常住人口比例达</w:t>
      </w:r>
      <w:r>
        <w:rPr>
          <w:rFonts w:ascii="仿宋_GB2312" w:hAnsi="Calibri" w:cs="仿宋_GB2312"/>
          <w:bCs/>
          <w:spacing w:val="-6"/>
          <w:szCs w:val="32"/>
        </w:rPr>
        <w:t>3%</w:t>
      </w:r>
      <w:r>
        <w:rPr>
          <w:rFonts w:hint="eastAsia" w:ascii="仿宋_GB2312" w:hAnsi="Calibri" w:cs="仿宋_GB2312"/>
          <w:bCs/>
          <w:spacing w:val="-6"/>
          <w:szCs w:val="32"/>
        </w:rPr>
        <w:t>左右。</w:t>
      </w:r>
    </w:p>
    <w:p>
      <w:pPr>
        <w:pStyle w:val="4"/>
        <w:ind w:firstLine="31680"/>
      </w:pPr>
      <w:r>
        <w:rPr>
          <w:rFonts w:hint="eastAsia"/>
        </w:rPr>
        <w:t>五、主要任务</w:t>
      </w:r>
    </w:p>
    <w:p>
      <w:pPr>
        <w:ind w:firstLine="31680"/>
      </w:pPr>
      <w:r>
        <w:rPr>
          <w:rFonts w:hint="eastAsia"/>
        </w:rPr>
        <w:t>十四五期间，秀洲区红十字会将坚定不移地走中国特色红十字事业发展道路，依法治会，认真履职，着力推进改革创新，当好党和政府在人道工作领域的助手，努力实现我区红十字事业发展新跨越，为打造重要窗口中最精彩板块中的“秀美新区”贡献更多力量。</w:t>
      </w:r>
    </w:p>
    <w:p>
      <w:pPr>
        <w:pStyle w:val="5"/>
        <w:ind w:firstLine="31680"/>
        <w:rPr>
          <w:sz w:val="32"/>
        </w:rPr>
      </w:pPr>
      <w:r>
        <w:rPr>
          <w:rFonts w:hint="eastAsia"/>
          <w:sz w:val="32"/>
        </w:rPr>
        <w:t>（一）强化基层组织网络建设</w:t>
      </w:r>
    </w:p>
    <w:p>
      <w:pPr>
        <w:ind w:firstLine="31680"/>
      </w:pPr>
      <w:r>
        <w:rPr>
          <w:rFonts w:hint="eastAsia"/>
        </w:rPr>
        <w:t>完成镇级红十字会组织的依法换届，做到“稳步推进、规范运行、有所作为”，不断提升基层红十字组织活力和工作水平。提升会员管理和服务规范化建设水平，依法收缴成人会员会费，发挥会员作用。巩固和拓展一批红十字文化传播阵地，新增</w:t>
      </w:r>
      <w:r>
        <w:rPr>
          <w:rFonts w:ascii="仿宋_GB2312" w:hAnsi="Calibri" w:cs="仿宋_GB2312"/>
          <w:bCs/>
          <w:spacing w:val="-6"/>
          <w:szCs w:val="32"/>
        </w:rPr>
        <w:t>10</w:t>
      </w:r>
      <w:r>
        <w:rPr>
          <w:rFonts w:hint="eastAsia" w:ascii="仿宋_GB2312" w:hAnsi="Calibri" w:cs="仿宋_GB2312"/>
          <w:bCs/>
          <w:spacing w:val="-6"/>
          <w:szCs w:val="32"/>
        </w:rPr>
        <w:t>个以上符合“</w:t>
      </w:r>
      <w:r>
        <w:rPr>
          <w:rFonts w:ascii="仿宋_GB2312" w:hAnsi="Calibri" w:cs="仿宋_GB2312"/>
          <w:bCs/>
          <w:spacing w:val="-6"/>
          <w:szCs w:val="32"/>
        </w:rPr>
        <w:t>4</w:t>
      </w:r>
      <w:r>
        <w:rPr>
          <w:rFonts w:hint="eastAsia" w:ascii="仿宋_GB2312" w:hAnsi="Calibri" w:cs="仿宋_GB2312"/>
          <w:bCs/>
          <w:spacing w:val="-6"/>
          <w:szCs w:val="32"/>
        </w:rPr>
        <w:t>＋</w:t>
      </w:r>
      <w:r>
        <w:rPr>
          <w:rFonts w:ascii="仿宋_GB2312" w:hAnsi="Calibri" w:cs="仿宋_GB2312"/>
          <w:bCs/>
          <w:spacing w:val="-6"/>
          <w:szCs w:val="32"/>
        </w:rPr>
        <w:t>X</w:t>
      </w:r>
      <w:r>
        <w:rPr>
          <w:rFonts w:hint="eastAsia" w:ascii="仿宋_GB2312" w:hAnsi="Calibri" w:cs="仿宋_GB2312"/>
          <w:bCs/>
          <w:spacing w:val="-6"/>
          <w:szCs w:val="32"/>
        </w:rPr>
        <w:t>”标准的“博爱家园”</w:t>
      </w:r>
      <w:r>
        <w:rPr>
          <w:rFonts w:hint="eastAsia"/>
        </w:rPr>
        <w:t>。积极探索在企事业单位、专业市场、新经济组织建立红十字基层组织，深化完善区红十字会管理体制，继续稳步推进红十字基层组织建设，同时，着力打造一支专业、精干、高效的红十字干部队伍和一支按专业、分领域、有特色的基层志愿者服务队伍。</w:t>
      </w:r>
    </w:p>
    <w:p>
      <w:pPr>
        <w:pStyle w:val="5"/>
        <w:ind w:firstLine="31680"/>
        <w:rPr>
          <w:sz w:val="32"/>
        </w:rPr>
      </w:pPr>
      <w:r>
        <w:rPr>
          <w:rFonts w:hint="eastAsia"/>
          <w:sz w:val="32"/>
        </w:rPr>
        <w:t>（二）完善基层应急响应体系</w:t>
      </w:r>
    </w:p>
    <w:p>
      <w:pPr>
        <w:ind w:firstLine="31680"/>
      </w:pPr>
      <w:r>
        <w:rPr>
          <w:rFonts w:hint="eastAsia"/>
        </w:rPr>
        <w:t>不断完善备灾救灾体系建设，提升应急救援能力，加强与长三角城市协作联动。修订完善红十字应急预案，加强应急救援队伍的专业化建设，未雨绸缪做好救灾备灾准备工作。结合秀洲区的区域优势和特色服务，完成</w:t>
      </w:r>
      <w:r>
        <w:t>1</w:t>
      </w:r>
      <w:r>
        <w:rPr>
          <w:rFonts w:hint="eastAsia"/>
        </w:rPr>
        <w:t>支区级综合性应急救援队和</w:t>
      </w:r>
      <w:r>
        <w:t>2</w:t>
      </w:r>
      <w:r>
        <w:rPr>
          <w:rFonts w:hint="eastAsia"/>
        </w:rPr>
        <w:t>支以上镇级应急救援小分队；各镇（街道）新增基层备灾救灾点</w:t>
      </w:r>
      <w:r>
        <w:t>10</w:t>
      </w:r>
      <w:r>
        <w:rPr>
          <w:rFonts w:hint="eastAsia"/>
        </w:rPr>
        <w:t>个以上，新增红十字应急救护志愿服务站（点）</w:t>
      </w:r>
      <w:r>
        <w:t>10</w:t>
      </w:r>
      <w:r>
        <w:rPr>
          <w:rFonts w:hint="eastAsia"/>
        </w:rPr>
        <w:t>个以上，协助政府参与应急救助服务。推动“美丽乡村”景区应急救护站建设，基本实现</w:t>
      </w:r>
      <w:r>
        <w:t>5A</w:t>
      </w:r>
      <w:r>
        <w:rPr>
          <w:rFonts w:hint="eastAsia"/>
        </w:rPr>
        <w:t>级景区全覆盖。</w:t>
      </w:r>
    </w:p>
    <w:p>
      <w:pPr>
        <w:pStyle w:val="5"/>
        <w:ind w:firstLine="31680"/>
        <w:rPr>
          <w:sz w:val="32"/>
        </w:rPr>
      </w:pPr>
      <w:r>
        <w:rPr>
          <w:rFonts w:hint="eastAsia"/>
          <w:sz w:val="32"/>
        </w:rPr>
        <w:t>（三）健全应急救护培训机制</w:t>
      </w:r>
    </w:p>
    <w:p>
      <w:pPr>
        <w:ind w:firstLine="31680"/>
      </w:pPr>
      <w:r>
        <w:rPr>
          <w:rFonts w:hint="eastAsia"/>
        </w:rPr>
        <w:t>根据“健康秀洲”的要求，不断提高救护培训质量和水平，加强救护师资建设，充分发挥红十字会在全社会开展普及应急救护知识的主体作用，推动课程课件、教学基地、师资队伍等三项标准化建设，深入开展应急救护培训进社区、进农村、进学校、进机关、进企事业单位的“五进”活动和救护知识进文化礼堂工作。全区建成</w:t>
      </w:r>
      <w:r>
        <w:t>1</w:t>
      </w:r>
      <w:r>
        <w:rPr>
          <w:rFonts w:hint="eastAsia"/>
        </w:rPr>
        <w:t>个救护师工作室、</w:t>
      </w:r>
      <w:r>
        <w:t>1</w:t>
      </w:r>
      <w:r>
        <w:rPr>
          <w:rFonts w:hint="eastAsia"/>
        </w:rPr>
        <w:t>个标准化应急救护培训基地。全区每年新增注册红十字救护员占当地户籍人口比例达到</w:t>
      </w:r>
      <w:r>
        <w:t>0.2%</w:t>
      </w:r>
      <w:r>
        <w:rPr>
          <w:rFonts w:hint="eastAsia"/>
          <w:spacing w:val="-6"/>
        </w:rPr>
        <w:t>以上，每年新增救护知识普及人数占当地户籍人口比例达到</w:t>
      </w:r>
      <w:r>
        <w:rPr>
          <w:spacing w:val="-6"/>
        </w:rPr>
        <w:t>2%</w:t>
      </w:r>
      <w:r>
        <w:rPr>
          <w:rFonts w:hint="eastAsia"/>
          <w:spacing w:val="-6"/>
        </w:rPr>
        <w:t>以上。人群密集场所自动体外除颤器（</w:t>
      </w:r>
      <w:r>
        <w:rPr>
          <w:spacing w:val="-6"/>
        </w:rPr>
        <w:t>AED</w:t>
      </w:r>
      <w:r>
        <w:rPr>
          <w:rFonts w:hint="eastAsia"/>
          <w:spacing w:val="-6"/>
        </w:rPr>
        <w:t>）力争达到</w:t>
      </w:r>
      <w:r>
        <w:rPr>
          <w:spacing w:val="-6"/>
        </w:rPr>
        <w:t>40</w:t>
      </w:r>
      <w:r>
        <w:rPr>
          <w:rFonts w:hint="eastAsia"/>
          <w:spacing w:val="-6"/>
        </w:rPr>
        <w:t>台以上。</w:t>
      </w:r>
    </w:p>
    <w:p>
      <w:pPr>
        <w:pStyle w:val="5"/>
        <w:ind w:firstLine="31680"/>
        <w:rPr>
          <w:sz w:val="32"/>
        </w:rPr>
      </w:pPr>
      <w:r>
        <w:rPr>
          <w:rFonts w:hint="eastAsia"/>
          <w:sz w:val="32"/>
        </w:rPr>
        <w:t>（四）提高生命关爱工作水平</w:t>
      </w:r>
    </w:p>
    <w:p>
      <w:pPr>
        <w:ind w:firstLine="31680"/>
      </w:pPr>
      <w:r>
        <w:rPr>
          <w:rFonts w:hint="eastAsia"/>
        </w:rPr>
        <w:t>配合有关部门依法推进无偿献血工作，不断完善造血干细胞和人体器官（遗体）捐献的动员、激励和服务机制和政策体系。进一步提高造血干细胞捐献入库人数，降低流失率和反悔率，不断健全人体器官（遗体）捐献工作机制。加强人体器官（遗体）协调员队伍建设，成立</w:t>
      </w:r>
      <w:r>
        <w:t>1</w:t>
      </w:r>
      <w:r>
        <w:rPr>
          <w:rFonts w:hint="eastAsia"/>
        </w:rPr>
        <w:t>支区级器官（遗体）捐献志愿者队伍，同时逐步建立人体器官捐献者困难家庭人道救助和缅怀纪念等社会褒奖激励政策。新增造血干细胞捐献入库志愿者</w:t>
      </w:r>
      <w:r>
        <w:t>300</w:t>
      </w:r>
      <w:r>
        <w:rPr>
          <w:rFonts w:hint="eastAsia"/>
        </w:rPr>
        <w:t>人，遗体和器官捐献实现新的突破。</w:t>
      </w:r>
    </w:p>
    <w:p>
      <w:pPr>
        <w:pStyle w:val="5"/>
        <w:ind w:firstLine="31680"/>
        <w:rPr>
          <w:sz w:val="32"/>
        </w:rPr>
      </w:pPr>
      <w:r>
        <w:rPr>
          <w:rFonts w:hint="eastAsia"/>
          <w:sz w:val="32"/>
        </w:rPr>
        <w:t>（五）增强人道救助服务能力</w:t>
      </w:r>
    </w:p>
    <w:p>
      <w:pPr>
        <w:ind w:firstLine="31680"/>
      </w:pPr>
      <w:r>
        <w:rPr>
          <w:rFonts w:hint="eastAsia"/>
        </w:rPr>
        <w:t>进一步拓宽筹资渠道，努力构建“政府引领、部门协作、社会捐助”与“项目化、品牌化、市场化”相结合的长效筹资机制，探索实施具有红十字会特色的筹资活动，重点打造</w:t>
      </w:r>
      <w:r>
        <w:t>1-2</w:t>
      </w:r>
      <w:r>
        <w:rPr>
          <w:rFonts w:hint="eastAsia"/>
        </w:rPr>
        <w:t>个在当地具有影响力的品牌项目。探索网络筹资等新模式，筹资机制不断完善，捐赠服务工作不断优化，凝聚更广泛的社会力量参与人道公益事业。认真做好对口支援西部工作。</w:t>
      </w:r>
    </w:p>
    <w:p>
      <w:pPr>
        <w:pStyle w:val="5"/>
        <w:ind w:firstLine="31680"/>
        <w:rPr>
          <w:sz w:val="32"/>
        </w:rPr>
      </w:pPr>
      <w:r>
        <w:rPr>
          <w:rFonts w:hint="eastAsia"/>
          <w:sz w:val="32"/>
        </w:rPr>
        <w:t>（六）加强红十字宣传工作力度</w:t>
      </w:r>
    </w:p>
    <w:p>
      <w:pPr>
        <w:ind w:firstLine="31680"/>
      </w:pPr>
      <w:r>
        <w:rPr>
          <w:rFonts w:hint="eastAsia"/>
        </w:rPr>
        <w:t>强化与媒体合作，建立健全重大活动参与机制、定期沟通交流机制。深化红十字网站、微信等自媒体宣传，充分利用</w:t>
      </w:r>
      <w:r>
        <w:t>5</w:t>
      </w:r>
      <w:r>
        <w:rPr>
          <w:rFonts w:hint="eastAsia"/>
        </w:rPr>
        <w:t>·</w:t>
      </w:r>
      <w:r>
        <w:t>8</w:t>
      </w:r>
      <w:r>
        <w:rPr>
          <w:rFonts w:hint="eastAsia"/>
        </w:rPr>
        <w:t>红十字日、</w:t>
      </w:r>
      <w:r>
        <w:t>6</w:t>
      </w:r>
      <w:r>
        <w:rPr>
          <w:rFonts w:hint="eastAsia"/>
        </w:rPr>
        <w:t>·</w:t>
      </w:r>
      <w:r>
        <w:t>14</w:t>
      </w:r>
      <w:r>
        <w:rPr>
          <w:rFonts w:hint="eastAsia"/>
        </w:rPr>
        <w:t>献血日、世界急救日、</w:t>
      </w:r>
      <w:r>
        <w:t>12</w:t>
      </w:r>
      <w:r>
        <w:rPr>
          <w:rFonts w:hint="eastAsia"/>
        </w:rPr>
        <w:t>·</w:t>
      </w:r>
      <w:r>
        <w:t>5</w:t>
      </w:r>
      <w:r>
        <w:rPr>
          <w:rFonts w:hint="eastAsia"/>
        </w:rPr>
        <w:t>志愿者日等重大纪念日时间节点，突出资源整合，根据各地特点，有针对性地开展富有红十字特色的知识宣讲、生命关爱、志愿服务等活动，同时，主动融入大运河文化艺术节、网船会等民俗活动中，不断扩大红十字志愿者参与面，提高红十字的知晓率和认同感，唱响红十字好声音。加强网络舆情应对处置工作，切实防范舆情风险，维护红十字声誉。推进红十字青少年工作进校园，传播红十字运动知识，传播健康行为与生活方式。</w:t>
      </w:r>
    </w:p>
    <w:p>
      <w:pPr>
        <w:pStyle w:val="4"/>
        <w:ind w:firstLine="31680"/>
      </w:pPr>
      <w:r>
        <w:rPr>
          <w:rFonts w:hint="eastAsia"/>
        </w:rPr>
        <w:t>六、组织实施</w:t>
      </w:r>
    </w:p>
    <w:p>
      <w:pPr>
        <w:pStyle w:val="5"/>
        <w:ind w:firstLine="31680"/>
        <w:rPr>
          <w:sz w:val="32"/>
        </w:rPr>
      </w:pPr>
      <w:r>
        <w:rPr>
          <w:rFonts w:hint="eastAsia"/>
          <w:sz w:val="32"/>
        </w:rPr>
        <w:t>（一）加强组织领导</w:t>
      </w:r>
    </w:p>
    <w:p>
      <w:pPr>
        <w:ind w:firstLine="31680"/>
      </w:pPr>
      <w:r>
        <w:rPr>
          <w:rFonts w:hint="eastAsia"/>
        </w:rPr>
        <w:t>坚持党委领导，区红十字会牵头组织实施，相关部门和理事单位相互协作，社会力量发挥重要作用的工作格局和运行机制。要积极争取党委、政府的重视和支持，进一步健全相关配套政策措施。切实加强与相关部门和理事单位的联系沟通，充分发挥理事的作用，为红十字事业发展争取更多的政策扶持、人财物保障。主动与爱心企业、爱心人士建立长期合作关系，调动一切可以调动的力量、利用一切可以利用的资源，凝聚推动红十字事业发展强大合力。</w:t>
      </w:r>
    </w:p>
    <w:p>
      <w:pPr>
        <w:pStyle w:val="5"/>
        <w:ind w:firstLine="31680"/>
        <w:rPr>
          <w:sz w:val="32"/>
        </w:rPr>
      </w:pPr>
      <w:r>
        <w:rPr>
          <w:rFonts w:hint="eastAsia"/>
          <w:sz w:val="32"/>
        </w:rPr>
        <w:t>（二）统筹协调推进</w:t>
      </w:r>
    </w:p>
    <w:p>
      <w:pPr>
        <w:ind w:firstLine="31680"/>
      </w:pPr>
      <w:r>
        <w:rPr>
          <w:rFonts w:hint="eastAsia"/>
        </w:rPr>
        <w:t>鼓励社会广泛参与规划实施。引导社会各界和广大人民群众共同关心、支持和参与红十字事业发展，鼓励社会各界和广大人民群众采取多种形式、多种渠道，参与红十字会各项工作。发挥理事单位、会员单位、合作单位以及理事、会员、志愿者的重要作用，统筹推进任务落实，形成落实规划的整体合力。要做好宣传、沟通和服务工作，凝聚思想共识，汇聚智慧力量，促进事业发展。　</w:t>
      </w:r>
    </w:p>
    <w:p>
      <w:pPr>
        <w:pStyle w:val="5"/>
        <w:ind w:firstLine="31680"/>
        <w:rPr>
          <w:sz w:val="32"/>
        </w:rPr>
      </w:pPr>
      <w:r>
        <w:rPr>
          <w:rFonts w:hint="eastAsia"/>
          <w:sz w:val="32"/>
        </w:rPr>
        <w:t>（三）强化督导检查</w:t>
      </w:r>
    </w:p>
    <w:p>
      <w:pPr>
        <w:ind w:firstLine="31680"/>
      </w:pPr>
      <w:r>
        <w:rPr>
          <w:rFonts w:hint="eastAsia"/>
        </w:rPr>
        <w:t>加强规划的落地实施，将规划实施情况作为督促检查基层红十字会组织的重要工作内容，跟踪规划实施进度和效果，加强调查研究，及时总结推广经验。坚持问题导向，聚焦重点，攻克难点，关注热点，补齐短板，分层次、有步骤地推动工作落实。加强调查研究，及时总结推广工作中涌现出来的先进典型和经验，推动工作协调发展。建立健全工作倒逼和责任追究机制，强化责任分解，加强工作督导，严格实行责任追究。</w:t>
      </w: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ind w:firstLine="31680"/>
      </w:pPr>
    </w:p>
    <w:p>
      <w:pPr>
        <w:pStyle w:val="2"/>
        <w:spacing w:line="240" w:lineRule="exact"/>
        <w:ind w:firstLine="31680"/>
      </w:pPr>
    </w:p>
    <w:p>
      <w:pPr>
        <w:pStyle w:val="2"/>
        <w:ind w:firstLine="31680"/>
      </w:pPr>
    </w:p>
    <w:tbl>
      <w:tblPr>
        <w:tblStyle w:val="11"/>
        <w:tblW w:w="9102" w:type="dxa"/>
        <w:jc w:val="center"/>
        <w:tblInd w:w="0" w:type="dxa"/>
        <w:tblLayout w:type="fixed"/>
        <w:tblCellMar>
          <w:top w:w="0" w:type="dxa"/>
          <w:left w:w="102" w:type="dxa"/>
          <w:bottom w:w="0" w:type="dxa"/>
          <w:right w:w="102" w:type="dxa"/>
        </w:tblCellMar>
      </w:tblPr>
      <w:tblGrid>
        <w:gridCol w:w="284"/>
        <w:gridCol w:w="4762"/>
        <w:gridCol w:w="3832"/>
        <w:gridCol w:w="224"/>
      </w:tblGrid>
      <w:tr>
        <w:tblPrEx>
          <w:tblLayout w:type="fixed"/>
          <w:tblCellMar>
            <w:top w:w="0" w:type="dxa"/>
            <w:left w:w="102" w:type="dxa"/>
            <w:bottom w:w="0" w:type="dxa"/>
            <w:right w:w="102" w:type="dxa"/>
          </w:tblCellMar>
        </w:tblPrEx>
        <w:trPr>
          <w:trHeight w:val="542" w:hRule="atLeast"/>
          <w:jc w:val="center"/>
        </w:trPr>
        <w:tc>
          <w:tcPr>
            <w:tcW w:w="284" w:type="dxa"/>
            <w:tcBorders>
              <w:top w:val="single" w:color="auto" w:sz="12" w:space="0"/>
            </w:tcBorders>
            <w:vAlign w:val="center"/>
          </w:tcPr>
          <w:p>
            <w:pPr>
              <w:widowControl/>
              <w:spacing w:line="400" w:lineRule="exact"/>
              <w:ind w:firstLine="31680"/>
              <w:rPr>
                <w:rFonts w:ascii="仿宋_GB2312"/>
                <w:snapToGrid w:val="0"/>
                <w:kern w:val="0"/>
                <w:sz w:val="28"/>
                <w:szCs w:val="28"/>
              </w:rPr>
            </w:pPr>
          </w:p>
        </w:tc>
        <w:tc>
          <w:tcPr>
            <w:tcW w:w="8594" w:type="dxa"/>
            <w:gridSpan w:val="2"/>
            <w:tcBorders>
              <w:top w:val="single" w:color="auto" w:sz="12" w:space="0"/>
            </w:tcBorders>
            <w:vAlign w:val="center"/>
          </w:tcPr>
          <w:p>
            <w:pPr>
              <w:widowControl/>
              <w:spacing w:line="400" w:lineRule="exact"/>
              <w:ind w:left="31680" w:hanging="840" w:hangingChars="300"/>
              <w:jc w:val="distribute"/>
              <w:rPr>
                <w:rFonts w:ascii="仿宋_GB2312" w:cs="仿宋_GB2312"/>
                <w:snapToGrid w:val="0"/>
                <w:spacing w:val="-4"/>
                <w:kern w:val="0"/>
                <w:sz w:val="28"/>
                <w:szCs w:val="28"/>
                <w:lang w:val="ru-RU"/>
              </w:rPr>
            </w:pPr>
            <w:r>
              <w:rPr>
                <w:rFonts w:hint="eastAsia" w:ascii="仿宋_GB2312" w:cs="仿宋_GB2312"/>
                <w:snapToGrid w:val="0"/>
                <w:kern w:val="0"/>
                <w:sz w:val="28"/>
                <w:szCs w:val="28"/>
              </w:rPr>
              <w:t>抄送：</w:t>
            </w:r>
            <w:r>
              <w:rPr>
                <w:rFonts w:hint="eastAsia" w:ascii="仿宋_GB2312" w:cs="仿宋_GB2312"/>
                <w:snapToGrid w:val="0"/>
                <w:spacing w:val="-4"/>
                <w:kern w:val="0"/>
                <w:sz w:val="28"/>
                <w:szCs w:val="28"/>
              </w:rPr>
              <w:t>嘉兴市发展和改革委员会，嘉兴市红十字会，</w:t>
            </w:r>
            <w:r>
              <w:rPr>
                <w:rFonts w:hint="eastAsia" w:ascii="仿宋_GB2312" w:cs="仿宋_GB2312"/>
                <w:snapToGrid w:val="0"/>
                <w:spacing w:val="-4"/>
                <w:kern w:val="0"/>
                <w:sz w:val="28"/>
                <w:szCs w:val="28"/>
                <w:lang w:val="ru-RU"/>
              </w:rPr>
              <w:t>区委各部门，区人大办，区政府办、区政协办，区纪委区监委，区人武部，</w:t>
            </w:r>
          </w:p>
          <w:p>
            <w:pPr>
              <w:widowControl/>
              <w:spacing w:line="400" w:lineRule="exact"/>
              <w:ind w:left="813" w:leftChars="254" w:firstLine="0" w:firstLineChars="0"/>
              <w:rPr>
                <w:rFonts w:ascii="仿宋_GB2312"/>
                <w:snapToGrid w:val="0"/>
                <w:kern w:val="0"/>
                <w:sz w:val="28"/>
                <w:szCs w:val="28"/>
              </w:rPr>
            </w:pPr>
            <w:r>
              <w:rPr>
                <w:rFonts w:hint="eastAsia" w:ascii="仿宋_GB2312" w:cs="仿宋_GB2312"/>
                <w:snapToGrid w:val="0"/>
                <w:spacing w:val="-4"/>
                <w:kern w:val="0"/>
                <w:sz w:val="28"/>
                <w:szCs w:val="28"/>
                <w:lang w:val="ru-RU"/>
              </w:rPr>
              <w:t>区法院，区检察院</w:t>
            </w:r>
          </w:p>
        </w:tc>
        <w:tc>
          <w:tcPr>
            <w:tcW w:w="224" w:type="dxa"/>
            <w:tcBorders>
              <w:top w:val="single" w:color="auto" w:sz="12" w:space="0"/>
            </w:tcBorders>
            <w:vAlign w:val="center"/>
          </w:tcPr>
          <w:p>
            <w:pPr>
              <w:widowControl/>
              <w:spacing w:line="400" w:lineRule="exact"/>
              <w:ind w:firstLine="31680"/>
              <w:rPr>
                <w:rFonts w:ascii="仿宋_GB2312"/>
                <w:snapToGrid w:val="0"/>
                <w:kern w:val="0"/>
                <w:sz w:val="28"/>
                <w:szCs w:val="28"/>
              </w:rPr>
            </w:pPr>
          </w:p>
        </w:tc>
      </w:tr>
      <w:tr>
        <w:tblPrEx>
          <w:tblLayout w:type="fixed"/>
          <w:tblCellMar>
            <w:top w:w="0" w:type="dxa"/>
            <w:left w:w="102" w:type="dxa"/>
            <w:bottom w:w="0" w:type="dxa"/>
            <w:right w:w="102" w:type="dxa"/>
          </w:tblCellMar>
        </w:tblPrEx>
        <w:trPr>
          <w:trHeight w:val="487" w:hRule="atLeast"/>
          <w:jc w:val="center"/>
        </w:trPr>
        <w:tc>
          <w:tcPr>
            <w:tcW w:w="284" w:type="dxa"/>
            <w:tcBorders>
              <w:top w:val="single" w:color="auto" w:sz="6" w:space="0"/>
              <w:bottom w:val="single" w:color="auto" w:sz="12" w:space="0"/>
            </w:tcBorders>
            <w:vAlign w:val="center"/>
          </w:tcPr>
          <w:p>
            <w:pPr>
              <w:spacing w:line="500" w:lineRule="exact"/>
              <w:ind w:firstLine="31680"/>
              <w:jc w:val="left"/>
              <w:rPr>
                <w:rFonts w:ascii="仿宋_GB2312"/>
                <w:snapToGrid w:val="0"/>
                <w:kern w:val="0"/>
                <w:sz w:val="28"/>
                <w:szCs w:val="28"/>
                <w:lang w:val="ru-RU"/>
              </w:rPr>
            </w:pPr>
          </w:p>
        </w:tc>
        <w:tc>
          <w:tcPr>
            <w:tcW w:w="4762" w:type="dxa"/>
            <w:tcBorders>
              <w:top w:val="single" w:color="auto" w:sz="6" w:space="0"/>
              <w:bottom w:val="single" w:color="auto" w:sz="12" w:space="0"/>
            </w:tcBorders>
            <w:vAlign w:val="center"/>
          </w:tcPr>
          <w:p>
            <w:pPr>
              <w:spacing w:line="500" w:lineRule="exact"/>
              <w:ind w:firstLine="0" w:firstLineChars="0"/>
              <w:rPr>
                <w:rFonts w:ascii="仿宋_GB2312"/>
                <w:snapToGrid w:val="0"/>
                <w:kern w:val="0"/>
                <w:sz w:val="28"/>
                <w:szCs w:val="28"/>
              </w:rPr>
            </w:pPr>
            <w:r>
              <w:rPr>
                <w:rFonts w:hint="eastAsia" w:ascii="仿宋_GB2312" w:cs="仿宋_GB2312"/>
                <w:snapToGrid w:val="0"/>
                <w:kern w:val="0"/>
                <w:sz w:val="28"/>
                <w:szCs w:val="28"/>
              </w:rPr>
              <w:t>嘉兴市秀洲区发展和改革局</w:t>
            </w:r>
          </w:p>
        </w:tc>
        <w:tc>
          <w:tcPr>
            <w:tcW w:w="3832" w:type="dxa"/>
            <w:tcBorders>
              <w:top w:val="single" w:color="auto" w:sz="6" w:space="0"/>
              <w:bottom w:val="single" w:color="auto" w:sz="12" w:space="0"/>
            </w:tcBorders>
            <w:vAlign w:val="center"/>
          </w:tcPr>
          <w:p>
            <w:pPr>
              <w:spacing w:line="500" w:lineRule="exact"/>
              <w:ind w:firstLine="31680"/>
              <w:jc w:val="right"/>
              <w:rPr>
                <w:rFonts w:ascii="仿宋_GB2312"/>
                <w:snapToGrid w:val="0"/>
                <w:kern w:val="0"/>
                <w:sz w:val="28"/>
                <w:szCs w:val="28"/>
              </w:rPr>
            </w:pPr>
            <w:r>
              <w:rPr>
                <w:rFonts w:ascii="仿宋_GB2312" w:cs="仿宋_GB2312"/>
                <w:snapToGrid w:val="0"/>
                <w:kern w:val="0"/>
                <w:sz w:val="28"/>
                <w:szCs w:val="28"/>
              </w:rPr>
              <w:t>2021</w:t>
            </w:r>
            <w:r>
              <w:rPr>
                <w:rFonts w:hint="eastAsia" w:ascii="仿宋_GB2312" w:cs="仿宋_GB2312"/>
                <w:snapToGrid w:val="0"/>
                <w:kern w:val="0"/>
                <w:sz w:val="28"/>
                <w:szCs w:val="28"/>
              </w:rPr>
              <w:t>年</w:t>
            </w:r>
            <w:r>
              <w:rPr>
                <w:rFonts w:ascii="仿宋_GB2312" w:cs="仿宋_GB2312"/>
                <w:snapToGrid w:val="0"/>
                <w:kern w:val="0"/>
                <w:sz w:val="28"/>
                <w:szCs w:val="28"/>
              </w:rPr>
              <w:t>11</w:t>
            </w:r>
            <w:r>
              <w:rPr>
                <w:rFonts w:hint="eastAsia" w:ascii="仿宋_GB2312" w:cs="仿宋_GB2312"/>
                <w:snapToGrid w:val="0"/>
                <w:kern w:val="0"/>
                <w:sz w:val="28"/>
                <w:szCs w:val="28"/>
              </w:rPr>
              <w:t>月</w:t>
            </w:r>
            <w:r>
              <w:rPr>
                <w:rFonts w:ascii="仿宋_GB2312" w:cs="仿宋_GB2312"/>
                <w:snapToGrid w:val="0"/>
                <w:kern w:val="0"/>
                <w:sz w:val="28"/>
                <w:szCs w:val="28"/>
              </w:rPr>
              <w:t>1</w:t>
            </w:r>
            <w:r>
              <w:rPr>
                <w:rFonts w:hint="eastAsia" w:ascii="仿宋_GB2312" w:cs="仿宋_GB2312"/>
                <w:snapToGrid w:val="0"/>
                <w:kern w:val="0"/>
                <w:sz w:val="28"/>
                <w:szCs w:val="28"/>
              </w:rPr>
              <w:t>日印发</w:t>
            </w:r>
          </w:p>
        </w:tc>
        <w:tc>
          <w:tcPr>
            <w:tcW w:w="224" w:type="dxa"/>
            <w:tcBorders>
              <w:top w:val="single" w:color="auto" w:sz="6" w:space="0"/>
              <w:bottom w:val="single" w:color="auto" w:sz="12" w:space="0"/>
            </w:tcBorders>
            <w:vAlign w:val="center"/>
          </w:tcPr>
          <w:p>
            <w:pPr>
              <w:spacing w:line="500" w:lineRule="exact"/>
              <w:ind w:firstLine="31680"/>
              <w:jc w:val="right"/>
              <w:rPr>
                <w:rFonts w:ascii="仿宋_GB2312"/>
                <w:snapToGrid w:val="0"/>
                <w:kern w:val="0"/>
                <w:sz w:val="28"/>
                <w:szCs w:val="28"/>
              </w:rPr>
            </w:pPr>
          </w:p>
        </w:tc>
      </w:tr>
    </w:tbl>
    <w:p>
      <w:pPr>
        <w:pStyle w:val="2"/>
        <w:spacing w:line="20" w:lineRule="exact"/>
        <w:ind w:firstLine="31680"/>
      </w:pPr>
    </w:p>
    <w:sectPr>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0" w:firstLineChars="0"/>
      <w:jc w:val="left"/>
      <w:rPr>
        <w:rFonts w:ascii="Calibri" w:hAnsi="Calibri" w:eastAsia="宋体"/>
        <w:sz w:val="18"/>
        <w:szCs w:val="1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spacing w:line="240" w:lineRule="auto"/>
                            <w:ind w:firstLine="0" w:firstLineChars="0"/>
                            <w:jc w:val="left"/>
                            <w:rPr>
                              <w:rStyle w:val="10"/>
                              <w:rFonts w:ascii="宋体" w:hAnsi="宋体" w:eastAsia="宋体" w:cs="宋体"/>
                              <w:sz w:val="28"/>
                              <w:szCs w:val="28"/>
                            </w:rPr>
                          </w:pPr>
                          <w:r>
                            <w:rPr>
                              <w:rStyle w:val="10"/>
                              <w:rFonts w:ascii="宋体" w:hAnsi="宋体" w:eastAsia="宋体" w:cs="宋体"/>
                              <w:sz w:val="28"/>
                              <w:szCs w:val="28"/>
                            </w:rPr>
                            <w:t xml:space="preserve">— </w:t>
                          </w:r>
                          <w:r>
                            <w:rPr>
                              <w:rStyle w:val="10"/>
                              <w:rFonts w:ascii="宋体" w:hAnsi="宋体" w:eastAsia="宋体" w:cs="宋体"/>
                              <w:sz w:val="28"/>
                              <w:szCs w:val="28"/>
                            </w:rPr>
                            <w:fldChar w:fldCharType="begin"/>
                          </w:r>
                          <w:r>
                            <w:rPr>
                              <w:rStyle w:val="10"/>
                              <w:rFonts w:ascii="宋体" w:hAnsi="宋体" w:eastAsia="宋体" w:cs="宋体"/>
                              <w:sz w:val="28"/>
                              <w:szCs w:val="28"/>
                            </w:rPr>
                            <w:instrText xml:space="preserve">PAGE  </w:instrText>
                          </w:r>
                          <w:r>
                            <w:rPr>
                              <w:rStyle w:val="10"/>
                              <w:rFonts w:ascii="宋体" w:hAnsi="宋体" w:eastAsia="宋体" w:cs="宋体"/>
                              <w:sz w:val="28"/>
                              <w:szCs w:val="28"/>
                            </w:rPr>
                            <w:fldChar w:fldCharType="separate"/>
                          </w:r>
                          <w:r>
                            <w:rPr>
                              <w:rStyle w:val="10"/>
                              <w:rFonts w:ascii="宋体" w:hAnsi="宋体" w:eastAsia="宋体" w:cs="宋体"/>
                              <w:sz w:val="28"/>
                              <w:szCs w:val="28"/>
                            </w:rPr>
                            <w:t>2</w:t>
                          </w:r>
                          <w:r>
                            <w:rPr>
                              <w:rStyle w:val="10"/>
                              <w:rFonts w:ascii="宋体" w:hAnsi="宋体" w:eastAsia="宋体" w:cs="宋体"/>
                              <w:sz w:val="28"/>
                              <w:szCs w:val="28"/>
                            </w:rPr>
                            <w:fldChar w:fldCharType="end"/>
                          </w:r>
                          <w:r>
                            <w:rPr>
                              <w:rStyle w:val="10"/>
                              <w:rFonts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snapToGrid w:val="0"/>
                      <w:spacing w:line="240" w:lineRule="auto"/>
                      <w:ind w:firstLine="0" w:firstLineChars="0"/>
                      <w:jc w:val="left"/>
                      <w:rPr>
                        <w:rStyle w:val="10"/>
                        <w:rFonts w:ascii="宋体" w:hAnsi="宋体" w:eastAsia="宋体" w:cs="宋体"/>
                        <w:sz w:val="28"/>
                        <w:szCs w:val="28"/>
                      </w:rPr>
                    </w:pPr>
                    <w:r>
                      <w:rPr>
                        <w:rStyle w:val="10"/>
                        <w:rFonts w:ascii="宋体" w:hAnsi="宋体" w:eastAsia="宋体" w:cs="宋体"/>
                        <w:sz w:val="28"/>
                        <w:szCs w:val="28"/>
                      </w:rPr>
                      <w:t xml:space="preserve">— </w:t>
                    </w:r>
                    <w:r>
                      <w:rPr>
                        <w:rStyle w:val="10"/>
                        <w:rFonts w:ascii="宋体" w:hAnsi="宋体" w:eastAsia="宋体" w:cs="宋体"/>
                        <w:sz w:val="28"/>
                        <w:szCs w:val="28"/>
                      </w:rPr>
                      <w:fldChar w:fldCharType="begin"/>
                    </w:r>
                    <w:r>
                      <w:rPr>
                        <w:rStyle w:val="10"/>
                        <w:rFonts w:ascii="宋体" w:hAnsi="宋体" w:eastAsia="宋体" w:cs="宋体"/>
                        <w:sz w:val="28"/>
                        <w:szCs w:val="28"/>
                      </w:rPr>
                      <w:instrText xml:space="preserve">PAGE  </w:instrText>
                    </w:r>
                    <w:r>
                      <w:rPr>
                        <w:rStyle w:val="10"/>
                        <w:rFonts w:ascii="宋体" w:hAnsi="宋体" w:eastAsia="宋体" w:cs="宋体"/>
                        <w:sz w:val="28"/>
                        <w:szCs w:val="28"/>
                      </w:rPr>
                      <w:fldChar w:fldCharType="separate"/>
                    </w:r>
                    <w:r>
                      <w:rPr>
                        <w:rStyle w:val="10"/>
                        <w:rFonts w:ascii="宋体" w:hAnsi="宋体" w:eastAsia="宋体" w:cs="宋体"/>
                        <w:sz w:val="28"/>
                        <w:szCs w:val="28"/>
                      </w:rPr>
                      <w:t>2</w:t>
                    </w:r>
                    <w:r>
                      <w:rPr>
                        <w:rStyle w:val="10"/>
                        <w:rFonts w:ascii="宋体" w:hAnsi="宋体" w:eastAsia="宋体" w:cs="宋体"/>
                        <w:sz w:val="28"/>
                        <w:szCs w:val="28"/>
                      </w:rPr>
                      <w:fldChar w:fldCharType="end"/>
                    </w:r>
                    <w:r>
                      <w:rPr>
                        <w:rStyle w:val="10"/>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A0BB0"/>
    <w:rsid w:val="000C3254"/>
    <w:rsid w:val="00160971"/>
    <w:rsid w:val="007C66D5"/>
    <w:rsid w:val="007D1F00"/>
    <w:rsid w:val="00DD6599"/>
    <w:rsid w:val="00FA5463"/>
    <w:rsid w:val="1E7B2A19"/>
    <w:rsid w:val="1FFB3DC5"/>
    <w:rsid w:val="275B4252"/>
    <w:rsid w:val="27FEEA01"/>
    <w:rsid w:val="29270F92"/>
    <w:rsid w:val="297D94EA"/>
    <w:rsid w:val="2BDB3D26"/>
    <w:rsid w:val="2F9794D8"/>
    <w:rsid w:val="2FF99BCE"/>
    <w:rsid w:val="2FFF51BF"/>
    <w:rsid w:val="33F1B186"/>
    <w:rsid w:val="357A4390"/>
    <w:rsid w:val="373DC0B4"/>
    <w:rsid w:val="38DFC2E9"/>
    <w:rsid w:val="3B1E6239"/>
    <w:rsid w:val="3BF51F11"/>
    <w:rsid w:val="3DBF0F1D"/>
    <w:rsid w:val="3E0A0D80"/>
    <w:rsid w:val="3E3F346E"/>
    <w:rsid w:val="3EE6E122"/>
    <w:rsid w:val="3EFF9EF6"/>
    <w:rsid w:val="3F3931BF"/>
    <w:rsid w:val="3FB06D31"/>
    <w:rsid w:val="4EDFBDBB"/>
    <w:rsid w:val="5B56AD49"/>
    <w:rsid w:val="5BE7B21E"/>
    <w:rsid w:val="5DEF5757"/>
    <w:rsid w:val="5E6F339C"/>
    <w:rsid w:val="5FEE0CEA"/>
    <w:rsid w:val="66F6D97D"/>
    <w:rsid w:val="66FD2DA5"/>
    <w:rsid w:val="67EB3F99"/>
    <w:rsid w:val="67F7E910"/>
    <w:rsid w:val="6D270EA3"/>
    <w:rsid w:val="6DBF4BB8"/>
    <w:rsid w:val="6EFE7227"/>
    <w:rsid w:val="6F367536"/>
    <w:rsid w:val="6FDB0AFE"/>
    <w:rsid w:val="6FEB8EA5"/>
    <w:rsid w:val="707ADF7F"/>
    <w:rsid w:val="70FE542E"/>
    <w:rsid w:val="714460CA"/>
    <w:rsid w:val="7369A616"/>
    <w:rsid w:val="73FF403D"/>
    <w:rsid w:val="76BFF170"/>
    <w:rsid w:val="76DCD9E1"/>
    <w:rsid w:val="773503B7"/>
    <w:rsid w:val="777F174B"/>
    <w:rsid w:val="77FDE8BC"/>
    <w:rsid w:val="77FEA951"/>
    <w:rsid w:val="79FFD99D"/>
    <w:rsid w:val="7BC5FDE8"/>
    <w:rsid w:val="7CFF4B45"/>
    <w:rsid w:val="7D3D34AF"/>
    <w:rsid w:val="7DCE7A59"/>
    <w:rsid w:val="7DCFCDC7"/>
    <w:rsid w:val="7DDF5CE8"/>
    <w:rsid w:val="7DEE64D4"/>
    <w:rsid w:val="7DEFC89C"/>
    <w:rsid w:val="7DFA0BB0"/>
    <w:rsid w:val="7DFF3DA6"/>
    <w:rsid w:val="7E7B5CD5"/>
    <w:rsid w:val="7ECFD5FB"/>
    <w:rsid w:val="7EFDEC53"/>
    <w:rsid w:val="7EFFEB24"/>
    <w:rsid w:val="7F5F6AFF"/>
    <w:rsid w:val="7F6AE9CF"/>
    <w:rsid w:val="7F768F0C"/>
    <w:rsid w:val="7FBECE19"/>
    <w:rsid w:val="7FD32146"/>
    <w:rsid w:val="7FDED265"/>
    <w:rsid w:val="7FEBD987"/>
    <w:rsid w:val="7FEEA629"/>
    <w:rsid w:val="7FFDA9AB"/>
    <w:rsid w:val="89FF5154"/>
    <w:rsid w:val="99F7C515"/>
    <w:rsid w:val="9FBFC29F"/>
    <w:rsid w:val="9FEFB8E7"/>
    <w:rsid w:val="9FFBDF8F"/>
    <w:rsid w:val="A65FBAEE"/>
    <w:rsid w:val="AFFB5476"/>
    <w:rsid w:val="B2EBD2A3"/>
    <w:rsid w:val="B3EFC63A"/>
    <w:rsid w:val="B76F9108"/>
    <w:rsid w:val="B7B9E42B"/>
    <w:rsid w:val="BDFC1568"/>
    <w:rsid w:val="BEEF9B5D"/>
    <w:rsid w:val="BF9A2EBE"/>
    <w:rsid w:val="BFC9BC96"/>
    <w:rsid w:val="BFFF9B56"/>
    <w:rsid w:val="C2BE938E"/>
    <w:rsid w:val="C5BFF201"/>
    <w:rsid w:val="CDAE8B2E"/>
    <w:rsid w:val="CFF593D8"/>
    <w:rsid w:val="D5F6EA09"/>
    <w:rsid w:val="DA7D0E1A"/>
    <w:rsid w:val="DBFB749F"/>
    <w:rsid w:val="DDFFD4A6"/>
    <w:rsid w:val="DEAFEA11"/>
    <w:rsid w:val="DF7A45D4"/>
    <w:rsid w:val="DFEBDC16"/>
    <w:rsid w:val="E6BF23AE"/>
    <w:rsid w:val="E77FAF88"/>
    <w:rsid w:val="EBDF3070"/>
    <w:rsid w:val="EBF74EDC"/>
    <w:rsid w:val="ED7F6DB1"/>
    <w:rsid w:val="EDBEDCEB"/>
    <w:rsid w:val="EEBF504B"/>
    <w:rsid w:val="EEEB1BB4"/>
    <w:rsid w:val="F2FF67DD"/>
    <w:rsid w:val="F567A8BB"/>
    <w:rsid w:val="F5BBEB56"/>
    <w:rsid w:val="F6FD9D8B"/>
    <w:rsid w:val="F76FC891"/>
    <w:rsid w:val="F7BB388F"/>
    <w:rsid w:val="F7DF305C"/>
    <w:rsid w:val="FADF0474"/>
    <w:rsid w:val="FBC75F7B"/>
    <w:rsid w:val="FCB7F7C4"/>
    <w:rsid w:val="FE7B5FEC"/>
    <w:rsid w:val="FEBF1936"/>
    <w:rsid w:val="FEFD81BC"/>
    <w:rsid w:val="FF67EEC6"/>
    <w:rsid w:val="FFEF91D2"/>
    <w:rsid w:val="FFF7AFE0"/>
    <w:rsid w:val="FFFDC52B"/>
    <w:rsid w:val="FFFE1F6A"/>
    <w:rsid w:val="FFFF056E"/>
    <w:rsid w:val="FFFFA7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2"/>
    <w:qFormat/>
    <w:uiPriority w:val="99"/>
    <w:pPr>
      <w:keepNext/>
      <w:keepLines/>
      <w:ind w:firstLine="0" w:firstLineChars="0"/>
      <w:jc w:val="center"/>
      <w:outlineLvl w:val="0"/>
    </w:pPr>
    <w:rPr>
      <w:rFonts w:eastAsia="方正小标宋简体"/>
      <w:bCs/>
      <w:kern w:val="44"/>
      <w:sz w:val="44"/>
      <w:szCs w:val="44"/>
    </w:rPr>
  </w:style>
  <w:style w:type="paragraph" w:styleId="4">
    <w:name w:val="heading 2"/>
    <w:basedOn w:val="1"/>
    <w:next w:val="1"/>
    <w:link w:val="13"/>
    <w:qFormat/>
    <w:uiPriority w:val="99"/>
    <w:pPr>
      <w:keepNext/>
      <w:keepLines/>
      <w:ind w:firstLine="880"/>
      <w:outlineLvl w:val="1"/>
    </w:pPr>
    <w:rPr>
      <w:rFonts w:ascii="Cambria" w:hAnsi="Cambria" w:eastAsia="黑体" w:cs="仿宋_GB2312"/>
      <w:bCs/>
    </w:rPr>
  </w:style>
  <w:style w:type="paragraph" w:styleId="5">
    <w:name w:val="heading 3"/>
    <w:basedOn w:val="1"/>
    <w:next w:val="1"/>
    <w:link w:val="14"/>
    <w:qFormat/>
    <w:uiPriority w:val="99"/>
    <w:pPr>
      <w:ind w:firstLine="592"/>
      <w:outlineLvl w:val="2"/>
    </w:pPr>
    <w:rPr>
      <w:rFonts w:eastAsia="楷体_GB2312"/>
      <w:bCs/>
      <w:sz w:val="24"/>
      <w:szCs w:val="32"/>
    </w:rPr>
  </w:style>
  <w:style w:type="paragraph" w:styleId="6">
    <w:name w:val="heading 4"/>
    <w:basedOn w:val="1"/>
    <w:next w:val="1"/>
    <w:link w:val="15"/>
    <w:qFormat/>
    <w:uiPriority w:val="99"/>
    <w:pPr>
      <w:outlineLvl w:val="3"/>
    </w:pPr>
    <w:rPr>
      <w:b/>
    </w:rPr>
  </w:style>
  <w:style w:type="character" w:default="1" w:styleId="9">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99"/>
  </w:style>
  <w:style w:type="paragraph" w:styleId="7">
    <w:name w:val="Plain Text"/>
    <w:basedOn w:val="1"/>
    <w:link w:val="17"/>
    <w:qFormat/>
    <w:uiPriority w:val="99"/>
    <w:pPr>
      <w:suppressAutoHyphens/>
      <w:spacing w:line="240" w:lineRule="auto"/>
      <w:ind w:firstLine="0" w:firstLineChars="0"/>
    </w:pPr>
    <w:rPr>
      <w:rFonts w:ascii="宋体" w:hAnsi="Courier New" w:eastAsia="宋体"/>
      <w:sz w:val="21"/>
      <w:szCs w:val="21"/>
    </w:rPr>
  </w:style>
  <w:style w:type="paragraph" w:styleId="8">
    <w:name w:val="Normal (Web)"/>
    <w:basedOn w:val="1"/>
    <w:qFormat/>
    <w:uiPriority w:val="99"/>
    <w:rPr>
      <w:rFonts w:eastAsia="宋体"/>
      <w:sz w:val="24"/>
    </w:rPr>
  </w:style>
  <w:style w:type="character" w:styleId="10">
    <w:name w:val="page number"/>
    <w:basedOn w:val="9"/>
    <w:qFormat/>
    <w:uiPriority w:val="99"/>
    <w:rPr>
      <w:rFonts w:cs="Times New Roman"/>
    </w:rPr>
  </w:style>
  <w:style w:type="character" w:customStyle="1" w:styleId="12">
    <w:name w:val="Heading 1 Char"/>
    <w:basedOn w:val="9"/>
    <w:link w:val="3"/>
    <w:qFormat/>
    <w:locked/>
    <w:uiPriority w:val="99"/>
    <w:rPr>
      <w:rFonts w:ascii="Times New Roman" w:hAnsi="Times New Roman" w:eastAsia="方正小标宋简体" w:cs="仿宋_GB2312"/>
      <w:bCs/>
      <w:kern w:val="44"/>
      <w:sz w:val="44"/>
      <w:szCs w:val="44"/>
    </w:rPr>
  </w:style>
  <w:style w:type="character" w:customStyle="1" w:styleId="13">
    <w:name w:val="Heading 2 Char"/>
    <w:basedOn w:val="9"/>
    <w:link w:val="4"/>
    <w:qFormat/>
    <w:locked/>
    <w:uiPriority w:val="99"/>
    <w:rPr>
      <w:rFonts w:ascii="Times New Roman" w:hAnsi="Times New Roman" w:eastAsia="黑体" w:cs="仿宋_GB2312"/>
      <w:bCs/>
      <w:sz w:val="32"/>
      <w:szCs w:val="32"/>
    </w:rPr>
  </w:style>
  <w:style w:type="character" w:customStyle="1" w:styleId="14">
    <w:name w:val="Heading 3 Char"/>
    <w:basedOn w:val="9"/>
    <w:link w:val="5"/>
    <w:qFormat/>
    <w:locked/>
    <w:uiPriority w:val="99"/>
    <w:rPr>
      <w:rFonts w:ascii="Times New Roman" w:hAnsi="Times New Roman" w:eastAsia="楷体_GB2312"/>
      <w:kern w:val="2"/>
      <w:sz w:val="32"/>
    </w:rPr>
  </w:style>
  <w:style w:type="character" w:customStyle="1" w:styleId="15">
    <w:name w:val="Heading 4 Char"/>
    <w:basedOn w:val="9"/>
    <w:link w:val="6"/>
    <w:semiHidden/>
    <w:qFormat/>
    <w:uiPriority w:val="9"/>
    <w:rPr>
      <w:rFonts w:asciiTheme="majorHAnsi" w:hAnsiTheme="majorHAnsi" w:eastAsiaTheme="majorEastAsia" w:cstheme="majorBidi"/>
      <w:b/>
      <w:bCs/>
      <w:sz w:val="28"/>
      <w:szCs w:val="28"/>
    </w:rPr>
  </w:style>
  <w:style w:type="character" w:customStyle="1" w:styleId="16">
    <w:name w:val="Body Text Char"/>
    <w:basedOn w:val="9"/>
    <w:link w:val="2"/>
    <w:semiHidden/>
    <w:qFormat/>
    <w:uiPriority w:val="99"/>
    <w:rPr>
      <w:rFonts w:ascii="Times New Roman" w:hAnsi="Times New Roman" w:eastAsia="仿宋_GB2312"/>
      <w:sz w:val="32"/>
      <w:szCs w:val="24"/>
    </w:rPr>
  </w:style>
  <w:style w:type="character" w:customStyle="1" w:styleId="17">
    <w:name w:val="Plain Text Char"/>
    <w:basedOn w:val="9"/>
    <w:link w:val="7"/>
    <w:semiHidden/>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775</Words>
  <Characters>4422</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2021-11-02T00:51:00Z</dcterms:created>
  <dc:creator>sean</dc:creator>
  <cp:lastModifiedBy>LimingChang</cp:lastModifiedBy>
  <cp:lastPrinted>2021-11-01T23:47:00Z</cp:lastPrinted>
  <dcterms:modified xsi:type="dcterms:W3CDTF">2023-04-20T08:08:17Z</dcterms:modified>
  <dc:title>嘉兴市秀洲区发展和改革局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46558884C8D84F5E8A8C344804188CD3</vt:lpwstr>
  </property>
</Properties>
</file>